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E6E35">
      <w:pPr>
        <w:rPr>
          <w:rtl/>
        </w:rPr>
      </w:pPr>
    </w:p>
    <w:p w14:paraId="4C23DACA">
      <w:r>
        <w:rPr>
          <w:rFonts w:hint="cs"/>
          <w:sz w:val="16"/>
          <w:szCs w:val="16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1348740</wp:posOffset>
                </wp:positionH>
                <wp:positionV relativeFrom="paragraph">
                  <wp:posOffset>-226060</wp:posOffset>
                </wp:positionV>
                <wp:extent cx="8321040" cy="6050280"/>
                <wp:effectExtent l="0" t="0" r="0" b="0"/>
                <wp:wrapNone/>
                <wp:docPr id="52056401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1040" cy="60502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447608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1F4E79" w:themeColor="accent1" w:themeShade="80"/>
                                <w:sz w:val="72"/>
                                <w:szCs w:val="7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="Impact" w:hAnsi="Impact" w:cs="PT Bold Heading"/>
                                <w:b/>
                                <w:color w:val="1F4E79" w:themeColor="accent1" w:themeShade="8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>وزارة التعليم</w:t>
                            </w:r>
                          </w:p>
                          <w:p w14:paraId="22C3DB5C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1F4E79" w:themeColor="accent1" w:themeShade="80"/>
                                <w:sz w:val="72"/>
                                <w:szCs w:val="7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="Impact" w:hAnsi="Impact" w:cs="PT Bold Heading"/>
                                <w:b/>
                                <w:color w:val="1F4E79" w:themeColor="accent1" w:themeShade="8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>الإدارة العامة للتعليم</w:t>
                            </w:r>
                          </w:p>
                          <w:p w14:paraId="2E640564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 xml:space="preserve">الخطة التعليمية </w:t>
                            </w:r>
                          </w:p>
                          <w:p w14:paraId="4637A1A3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hint="cs"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 xml:space="preserve">الفصل الدراسي الثالث  </w:t>
                            </w:r>
                            <w:r>
                              <w:rPr>
                                <w:rFonts w:ascii="Impact" w:hAnsi="Impact" w:cs="PT Bold Heading"/>
                                <w:bCs/>
                                <w:color w:val="00B050"/>
                                <w:sz w:val="72"/>
                                <w:szCs w:val="72"/>
                                <w:lang w:bidi="ar-EG"/>
                              </w:rPr>
                              <w:t>1446</w:t>
                            </w:r>
                            <w:r>
                              <w:rPr>
                                <w:rFonts w:hint="cs" w:ascii="Impact" w:hAnsi="Impact" w:cs="PT Bold Heading"/>
                                <w:bCs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>ه</w:t>
                            </w:r>
                            <w:r>
                              <w:rPr>
                                <w:rFonts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lang w:bidi="ar-EG"/>
                              </w:rPr>
                              <w:t xml:space="preserve"> </w:t>
                            </w:r>
                          </w:p>
                          <w:p w14:paraId="055541E6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>الفيزياء 3</w:t>
                            </w:r>
                          </w:p>
                          <w:p w14:paraId="32CDD25F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2E75B6" w:themeColor="accent1" w:themeShade="BF"/>
                                <w:sz w:val="520"/>
                                <w:szCs w:val="520"/>
                                <w:rtl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106.2pt;margin-top:-17.8pt;height:476.4pt;width:655.2pt;mso-position-horizontal-relative:page;z-index:251660288;v-text-anchor:middle;mso-width-relative:page;mso-height-relative:page;" filled="f" stroked="f" coordsize="21600,21600" o:gfxdata="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aDTdodoAAAAMAQAADwAAAAAAAAABACAAAAAiAAAAZHJzL2Rv&#10;d25yZXYueG1sUEsBAhQAFAAAAAgAh07iQPTWZVJxAgAAygQAAA4AAAAAAAAAAQAgAAAAKQEAAGRy&#10;cy9lMm9Eb2MueG1sUEsFBgAAAAAGAAYAWQEAAAw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B447608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1F4E79" w:themeColor="accent1" w:themeShade="80"/>
                          <w:sz w:val="72"/>
                          <w:szCs w:val="72"/>
                          <w:rtl/>
                          <w:lang w:bidi="ar-EG"/>
                        </w:rPr>
                      </w:pPr>
                      <w:r>
                        <w:rPr>
                          <w:rFonts w:hint="cs" w:ascii="Impact" w:hAnsi="Impact" w:cs="PT Bold Heading"/>
                          <w:b/>
                          <w:color w:val="1F4E79" w:themeColor="accent1" w:themeShade="80"/>
                          <w:sz w:val="72"/>
                          <w:szCs w:val="72"/>
                          <w:rtl/>
                          <w:lang w:bidi="ar-EG"/>
                        </w:rPr>
                        <w:t>وزارة التعليم</w:t>
                      </w:r>
                    </w:p>
                    <w:p w14:paraId="22C3DB5C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1F4E79" w:themeColor="accent1" w:themeShade="80"/>
                          <w:sz w:val="72"/>
                          <w:szCs w:val="72"/>
                          <w:rtl/>
                          <w:lang w:bidi="ar-EG"/>
                        </w:rPr>
                      </w:pPr>
                      <w:r>
                        <w:rPr>
                          <w:rFonts w:hint="cs" w:ascii="Impact" w:hAnsi="Impact" w:cs="PT Bold Heading"/>
                          <w:b/>
                          <w:color w:val="1F4E79" w:themeColor="accent1" w:themeShade="80"/>
                          <w:sz w:val="72"/>
                          <w:szCs w:val="72"/>
                          <w:rtl/>
                          <w:lang w:bidi="ar-EG"/>
                        </w:rPr>
                        <w:t>الإدارة العامة للتعليم</w:t>
                      </w:r>
                    </w:p>
                    <w:p w14:paraId="2E640564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</w:pPr>
                      <w:r>
                        <w:rPr>
                          <w:rFonts w:hint="cs"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  <w:t xml:space="preserve">الخطة التعليمية </w:t>
                      </w:r>
                    </w:p>
                    <w:p w14:paraId="4637A1A3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hint="cs"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  <w:t xml:space="preserve">الفصل الدراسي الثالث  </w:t>
                      </w:r>
                      <w:r>
                        <w:rPr>
                          <w:rFonts w:ascii="Impact" w:hAnsi="Impact" w:cs="PT Bold Heading"/>
                          <w:bCs/>
                          <w:color w:val="00B050"/>
                          <w:sz w:val="72"/>
                          <w:szCs w:val="72"/>
                          <w:lang w:bidi="ar-EG"/>
                        </w:rPr>
                        <w:t>1446</w:t>
                      </w:r>
                      <w:r>
                        <w:rPr>
                          <w:rFonts w:hint="cs" w:ascii="Impact" w:hAnsi="Impact" w:cs="PT Bold Heading"/>
                          <w:bCs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  <w:t>ه</w:t>
                      </w:r>
                      <w:r>
                        <w:rPr>
                          <w:rFonts w:ascii="Impact" w:hAnsi="Impact" w:cs="PT Bold Heading"/>
                          <w:b/>
                          <w:color w:val="00B050"/>
                          <w:sz w:val="72"/>
                          <w:szCs w:val="72"/>
                          <w:lang w:bidi="ar-EG"/>
                        </w:rPr>
                        <w:t xml:space="preserve"> </w:t>
                      </w:r>
                    </w:p>
                    <w:p w14:paraId="055541E6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</w:pPr>
                      <w:r>
                        <w:rPr>
                          <w:rFonts w:hint="cs"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  <w:t>الفيزياء 3</w:t>
                      </w:r>
                    </w:p>
                    <w:p w14:paraId="32CDD25F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2E75B6" w:themeColor="accent1" w:themeShade="BF"/>
                          <w:sz w:val="520"/>
                          <w:szCs w:val="520"/>
                          <w:rtl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-1037590</wp:posOffset>
            </wp:positionV>
            <wp:extent cx="2293620" cy="1882140"/>
            <wp:effectExtent l="0" t="0" r="0" b="3810"/>
            <wp:wrapNone/>
            <wp:docPr id="173789477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89477" name="صورة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78617" b="75178"/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B82A0D"/>
    <w:p w14:paraId="399ED8E0"/>
    <w:p w14:paraId="1D892319"/>
    <w:p w14:paraId="18977E3C"/>
    <w:p w14:paraId="4E416733"/>
    <w:p w14:paraId="6C1B64E2">
      <w:pPr>
        <w:spacing w:after="0" w:line="240" w:lineRule="auto"/>
        <w:rPr>
          <w:sz w:val="16"/>
          <w:szCs w:val="16"/>
          <w:rtl/>
        </w:rPr>
      </w:pPr>
    </w:p>
    <w:p w14:paraId="345EBE79">
      <w:pPr>
        <w:spacing w:after="0" w:line="240" w:lineRule="auto"/>
        <w:rPr>
          <w:sz w:val="16"/>
          <w:szCs w:val="16"/>
          <w:rtl/>
        </w:rPr>
      </w:pPr>
    </w:p>
    <w:p w14:paraId="61FE7947">
      <w:pPr>
        <w:spacing w:after="0" w:line="240" w:lineRule="auto"/>
        <w:rPr>
          <w:sz w:val="16"/>
          <w:szCs w:val="16"/>
          <w:rtl/>
        </w:rPr>
      </w:pPr>
    </w:p>
    <w:p w14:paraId="0AB8D059">
      <w:pPr>
        <w:spacing w:after="0" w:line="240" w:lineRule="auto"/>
        <w:rPr>
          <w:sz w:val="16"/>
          <w:szCs w:val="16"/>
          <w:rtl/>
        </w:rPr>
      </w:pPr>
    </w:p>
    <w:p w14:paraId="5F6E572D">
      <w:pPr>
        <w:spacing w:after="0" w:line="240" w:lineRule="auto"/>
        <w:rPr>
          <w:sz w:val="16"/>
          <w:szCs w:val="16"/>
          <w:rtl/>
        </w:rPr>
      </w:pPr>
    </w:p>
    <w:p w14:paraId="2B3FD4D4">
      <w:pPr>
        <w:spacing w:after="0" w:line="240" w:lineRule="auto"/>
        <w:rPr>
          <w:sz w:val="16"/>
          <w:szCs w:val="16"/>
          <w:rtl/>
        </w:rPr>
      </w:pPr>
    </w:p>
    <w:p w14:paraId="58EBCF14">
      <w:pPr>
        <w:spacing w:after="0" w:line="240" w:lineRule="auto"/>
        <w:rPr>
          <w:sz w:val="16"/>
          <w:szCs w:val="16"/>
          <w:rtl/>
        </w:rPr>
      </w:pPr>
    </w:p>
    <w:p w14:paraId="22ED45E6">
      <w:pPr>
        <w:spacing w:after="0" w:line="240" w:lineRule="auto"/>
        <w:rPr>
          <w:sz w:val="16"/>
          <w:szCs w:val="16"/>
          <w:rtl/>
        </w:rPr>
      </w:pPr>
    </w:p>
    <w:p w14:paraId="10897CAA">
      <w:pPr>
        <w:spacing w:after="0" w:line="240" w:lineRule="auto"/>
        <w:rPr>
          <w:sz w:val="16"/>
          <w:szCs w:val="16"/>
          <w:rtl/>
        </w:rPr>
      </w:pPr>
    </w:p>
    <w:p w14:paraId="25AFE6FC">
      <w:pPr>
        <w:spacing w:after="0" w:line="240" w:lineRule="auto"/>
        <w:rPr>
          <w:sz w:val="16"/>
          <w:szCs w:val="16"/>
          <w:rtl/>
        </w:rPr>
      </w:pPr>
    </w:p>
    <w:p w14:paraId="0AD0A802">
      <w:pPr>
        <w:spacing w:after="0" w:line="240" w:lineRule="auto"/>
        <w:rPr>
          <w:sz w:val="16"/>
          <w:szCs w:val="16"/>
          <w:rtl/>
        </w:rPr>
      </w:pPr>
    </w:p>
    <w:p w14:paraId="3CF49838">
      <w:pPr>
        <w:spacing w:after="0" w:line="240" w:lineRule="auto"/>
        <w:rPr>
          <w:sz w:val="16"/>
          <w:szCs w:val="16"/>
          <w:rtl/>
        </w:rPr>
      </w:pPr>
    </w:p>
    <w:p w14:paraId="73147CCC">
      <w:pPr>
        <w:spacing w:after="0" w:line="240" w:lineRule="auto"/>
        <w:rPr>
          <w:sz w:val="16"/>
          <w:szCs w:val="16"/>
          <w:rtl/>
        </w:rPr>
      </w:pPr>
    </w:p>
    <w:p w14:paraId="6C7CFFF3">
      <w:pPr>
        <w:spacing w:after="0" w:line="240" w:lineRule="auto"/>
        <w:rPr>
          <w:sz w:val="16"/>
          <w:szCs w:val="16"/>
          <w:rtl/>
        </w:rPr>
      </w:pPr>
    </w:p>
    <w:p w14:paraId="042E335F">
      <w:pPr>
        <w:spacing w:after="0" w:line="240" w:lineRule="auto"/>
        <w:rPr>
          <w:sz w:val="16"/>
          <w:szCs w:val="16"/>
          <w:rtl/>
        </w:rPr>
      </w:pPr>
    </w:p>
    <w:p w14:paraId="6614A60D">
      <w:pPr>
        <w:spacing w:after="0" w:line="240" w:lineRule="auto"/>
        <w:rPr>
          <w:sz w:val="16"/>
          <w:szCs w:val="16"/>
          <w:rtl/>
        </w:rPr>
      </w:pPr>
    </w:p>
    <w:p w14:paraId="1A0BAD3F">
      <w:pPr>
        <w:spacing w:after="0" w:line="240" w:lineRule="auto"/>
        <w:rPr>
          <w:sz w:val="16"/>
          <w:szCs w:val="16"/>
          <w:rtl/>
        </w:rPr>
      </w:pPr>
    </w:p>
    <w:p w14:paraId="63474917">
      <w:pPr>
        <w:spacing w:after="0" w:line="240" w:lineRule="auto"/>
        <w:rPr>
          <w:sz w:val="16"/>
          <w:szCs w:val="16"/>
          <w:rtl/>
        </w:rPr>
      </w:pPr>
    </w:p>
    <w:p w14:paraId="67B7AABA">
      <w:pPr>
        <w:spacing w:after="0" w:line="240" w:lineRule="auto"/>
        <w:rPr>
          <w:sz w:val="16"/>
          <w:szCs w:val="16"/>
          <w:rtl/>
        </w:rPr>
      </w:pPr>
    </w:p>
    <w:p w14:paraId="64FB6507">
      <w:pPr>
        <w:spacing w:after="0" w:line="240" w:lineRule="auto"/>
        <w:rPr>
          <w:sz w:val="16"/>
          <w:szCs w:val="16"/>
          <w:rtl/>
        </w:rPr>
      </w:pPr>
    </w:p>
    <w:p w14:paraId="4110B04E">
      <w:pPr>
        <w:spacing w:after="0" w:line="240" w:lineRule="auto"/>
        <w:rPr>
          <w:sz w:val="16"/>
          <w:szCs w:val="16"/>
          <w:rtl/>
        </w:rPr>
      </w:pPr>
    </w:p>
    <w:p w14:paraId="4C704574">
      <w:pPr>
        <w:spacing w:after="0" w:line="240" w:lineRule="auto"/>
        <w:rPr>
          <w:sz w:val="16"/>
          <w:szCs w:val="16"/>
          <w:rtl/>
        </w:rPr>
      </w:pPr>
    </w:p>
    <w:p w14:paraId="5673EEEC">
      <w:pPr>
        <w:spacing w:after="0" w:line="240" w:lineRule="auto"/>
        <w:rPr>
          <w:sz w:val="16"/>
          <w:szCs w:val="16"/>
          <w:rtl/>
        </w:rPr>
      </w:pPr>
    </w:p>
    <w:p w14:paraId="2C50804D">
      <w:pPr>
        <w:spacing w:after="0" w:line="240" w:lineRule="auto"/>
        <w:rPr>
          <w:sz w:val="16"/>
          <w:szCs w:val="16"/>
          <w:rtl/>
        </w:rPr>
      </w:pPr>
    </w:p>
    <w:p w14:paraId="4A4F012B">
      <w:pPr>
        <w:spacing w:after="0" w:line="240" w:lineRule="auto"/>
        <w:rPr>
          <w:sz w:val="16"/>
          <w:szCs w:val="16"/>
          <w:rtl/>
        </w:rPr>
      </w:pPr>
    </w:p>
    <w:p w14:paraId="377ADA63">
      <w:pPr>
        <w:spacing w:after="0" w:line="240" w:lineRule="auto"/>
        <w:rPr>
          <w:sz w:val="16"/>
          <w:szCs w:val="16"/>
          <w:rtl/>
        </w:rPr>
      </w:pPr>
    </w:p>
    <w:p w14:paraId="778779EC">
      <w:pPr>
        <w:spacing w:after="0" w:line="240" w:lineRule="auto"/>
        <w:rPr>
          <w:sz w:val="16"/>
          <w:szCs w:val="16"/>
          <w:rtl/>
        </w:rPr>
      </w:pPr>
    </w:p>
    <w:p w14:paraId="4A4440F9">
      <w:pPr>
        <w:spacing w:after="0" w:line="240" w:lineRule="auto"/>
        <w:rPr>
          <w:sz w:val="16"/>
          <w:szCs w:val="16"/>
          <w:rtl/>
        </w:rPr>
      </w:pPr>
    </w:p>
    <w:p w14:paraId="63C23BFE">
      <w:pPr>
        <w:spacing w:after="0" w:line="240" w:lineRule="auto"/>
        <w:rPr>
          <w:sz w:val="16"/>
          <w:szCs w:val="16"/>
          <w:rtl/>
        </w:rPr>
      </w:pPr>
    </w:p>
    <w:p w14:paraId="4B35C9DE">
      <w:pPr>
        <w:spacing w:after="0" w:line="240" w:lineRule="auto"/>
        <w:rPr>
          <w:sz w:val="16"/>
          <w:szCs w:val="16"/>
          <w:rtl/>
        </w:rPr>
      </w:pPr>
    </w:p>
    <w:p w14:paraId="0E7852A0">
      <w:pPr>
        <w:spacing w:after="0" w:line="240" w:lineRule="auto"/>
        <w:rPr>
          <w:sz w:val="16"/>
          <w:szCs w:val="16"/>
          <w:rtl/>
        </w:rPr>
      </w:pPr>
    </w:p>
    <w:p w14:paraId="4AF2E06A">
      <w:pPr>
        <w:spacing w:after="0" w:line="240" w:lineRule="auto"/>
        <w:rPr>
          <w:sz w:val="16"/>
          <w:szCs w:val="16"/>
          <w:rtl/>
        </w:rPr>
      </w:pPr>
    </w:p>
    <w:p w14:paraId="01E5E41A">
      <w:pPr>
        <w:spacing w:after="0" w:line="240" w:lineRule="auto"/>
        <w:rPr>
          <w:sz w:val="16"/>
          <w:szCs w:val="16"/>
          <w:rtl/>
        </w:rPr>
      </w:pPr>
    </w:p>
    <w:p w14:paraId="3850DA48">
      <w:pPr>
        <w:spacing w:after="0" w:line="240" w:lineRule="auto"/>
        <w:rPr>
          <w:sz w:val="16"/>
          <w:szCs w:val="16"/>
          <w:rtl/>
        </w:rPr>
      </w:pPr>
    </w:p>
    <w:p w14:paraId="53B63B80">
      <w:pPr>
        <w:spacing w:after="0" w:line="240" w:lineRule="auto"/>
        <w:rPr>
          <w:sz w:val="16"/>
          <w:szCs w:val="16"/>
        </w:rPr>
      </w:pPr>
    </w:p>
    <w:p w14:paraId="606943B8">
      <w:pPr>
        <w:spacing w:after="0" w:line="240" w:lineRule="auto"/>
        <w:rPr>
          <w:sz w:val="16"/>
          <w:szCs w:val="16"/>
          <w:rtl/>
        </w:rPr>
      </w:pPr>
    </w:p>
    <w:p w14:paraId="7F7ED70D">
      <w:pPr>
        <w:spacing w:after="0" w:line="240" w:lineRule="auto"/>
        <w:rPr>
          <w:sz w:val="16"/>
          <w:szCs w:val="16"/>
          <w:rtl/>
        </w:rPr>
      </w:pPr>
    </w:p>
    <w:p w14:paraId="130A40D2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28DA391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6B07C096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237422B8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الأول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3964B9CC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68388F7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5CE59A15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6F54F22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6F47952C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56CD752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231564A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06C2B5E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6C84B7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7D03B5B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125F5B8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5276D78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832A33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7DBD6C5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C9EF157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FFCD431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8C1F02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146416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73AB67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1B7B41F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7AE12C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3C93453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1BF2F392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2731FE2F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3437CF7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5C1F6F4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8"/>
                <w:szCs w:val="18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الحث الكهرومغناطيسي--التيار الكهربائي الناتج عن تغير المجالات المغناطيسية
</w:t>
            </w:r>
          </w:p>
        </w:tc>
        <w:tc>
          <w:tcPr>
            <w:tcW w:w="2562" w:type="dxa"/>
            <w:gridSpan w:val="2"/>
            <w:vAlign w:val="center"/>
          </w:tcPr>
          <w:p w14:paraId="3CFE0A6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8"/>
                <w:szCs w:val="18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الحث الكهرومغناطيسي--التيار الكهربائي الناتج عن تغير المجالات المغناطيسية
</w:t>
            </w:r>
          </w:p>
        </w:tc>
        <w:tc>
          <w:tcPr>
            <w:tcW w:w="2562" w:type="dxa"/>
            <w:gridSpan w:val="2"/>
            <w:vAlign w:val="center"/>
          </w:tcPr>
          <w:p w14:paraId="78E30AE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8"/>
                <w:szCs w:val="18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الحث الكهرومغناطيسي--تغير المجالات المغناطيسية يولد قوة دافعة كهربائية حثية
</w:t>
            </w:r>
          </w:p>
        </w:tc>
        <w:tc>
          <w:tcPr>
            <w:tcW w:w="2562" w:type="dxa"/>
            <w:vAlign w:val="center"/>
          </w:tcPr>
          <w:p w14:paraId="3926442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8"/>
                <w:szCs w:val="18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الحث الكهرومغناطيسي--تغير المجالات المغناطيسية يولد قوة دافعة كهربائية حثية
</w:t>
            </w:r>
          </w:p>
        </w:tc>
        <w:tc>
          <w:tcPr>
            <w:tcW w:w="2591" w:type="dxa"/>
            <w:vAlign w:val="center"/>
          </w:tcPr>
          <w:p w14:paraId="0C11F00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8"/>
                <w:szCs w:val="18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الكهرومغناطيسية--تفاعلات المجالات الكهربائية والمغناطسية والمادة
</w:t>
            </w:r>
          </w:p>
        </w:tc>
      </w:tr>
      <w:tr w14:paraId="342D134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43F1090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10F4DF2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تعرف القوة الدافعة الكهربائية
تحل مسائل تتضمن حركة أسلاك في مجالات مغناطيسية</w:t>
            </w:r>
          </w:p>
        </w:tc>
        <w:tc>
          <w:tcPr>
            <w:tcW w:w="2562" w:type="dxa"/>
            <w:gridSpan w:val="2"/>
            <w:vAlign w:val="center"/>
          </w:tcPr>
          <w:p w14:paraId="1D210A0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تعرف القوة الدافعة الكهربائية
تحل مسائل تتضمن حركة أسلاك في مجالات مغناطيسية</w:t>
            </w:r>
          </w:p>
        </w:tc>
        <w:tc>
          <w:tcPr>
            <w:tcW w:w="2562" w:type="dxa"/>
            <w:gridSpan w:val="2"/>
            <w:vAlign w:val="center"/>
          </w:tcPr>
          <w:p w14:paraId="178A468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تطبق قانون لينز
تحل مسائل متعلقة بالمحولات تتضمن الجهد والتيار ونسب عدد اللفات</w:t>
            </w:r>
          </w:p>
        </w:tc>
        <w:tc>
          <w:tcPr>
            <w:tcW w:w="2562" w:type="dxa"/>
            <w:vAlign w:val="center"/>
          </w:tcPr>
          <w:p w14:paraId="2EC03AF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تطبق قانون لينز
تحل مسائل متعلقة بالمحولات تتضمن الجهد والتيار ونسب عدد اللفات</w:t>
            </w:r>
          </w:p>
        </w:tc>
        <w:tc>
          <w:tcPr>
            <w:tcW w:w="2591" w:type="dxa"/>
            <w:vAlign w:val="center"/>
          </w:tcPr>
          <w:p w14:paraId="1FA265E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أنبوب الأشعة المهبطية
تحل مسائل تتضمن التفاعل بين الجسيمات المشحونة والمجالات الكهربائية والمغناطيسية في أنبوب الأشعة المهبطية ومطياف الكتلة</w:t>
            </w:r>
          </w:p>
        </w:tc>
      </w:tr>
      <w:tr w14:paraId="72CBA4A1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049975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624074F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4"/>
                <w:szCs w:val="1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الحركة النسبية بين السلك، والمجال المغناطيسي تولد تيارا كهربائيا  (     )</w:t>
            </w:r>
          </w:p>
        </w:tc>
        <w:tc>
          <w:tcPr>
            <w:tcW w:w="2562" w:type="dxa"/>
            <w:gridSpan w:val="2"/>
            <w:vAlign w:val="center"/>
          </w:tcPr>
          <w:p w14:paraId="5DD4320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4"/>
                <w:szCs w:val="1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الحركة النسبية بين السلك، والمجال المغناطيسي تولد تيارا كهربائيا  (     )</w:t>
            </w:r>
          </w:p>
        </w:tc>
        <w:tc>
          <w:tcPr>
            <w:tcW w:w="2562" w:type="dxa"/>
            <w:gridSpan w:val="2"/>
            <w:vAlign w:val="center"/>
          </w:tcPr>
          <w:p w14:paraId="3090DC0A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4"/>
                <w:szCs w:val="1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عندما يكون التيار الكهربائي، والمجال المغناطيسي ثابتين تكون القوة الدافعة الكهربائية العكسية   (     ) تتزايد   (     ) صفر   (     ) تتناقص   (     ) لا تتغير</w:t>
            </w:r>
          </w:p>
        </w:tc>
        <w:tc>
          <w:tcPr>
            <w:tcW w:w="2562" w:type="dxa"/>
            <w:vAlign w:val="center"/>
          </w:tcPr>
          <w:p w14:paraId="405631C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4"/>
                <w:szCs w:val="1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عندما يكون التيار الكهربائي، والمجال المغناطيسي ثابتين تكون القوة الدافعة الكهربائية العكسية   (     ) تتزايد   (     ) صفر   (     ) تتناقص   (     ) لا تتغير</w:t>
            </w:r>
          </w:p>
        </w:tc>
        <w:tc>
          <w:tcPr>
            <w:tcW w:w="2591" w:type="dxa"/>
            <w:vAlign w:val="center"/>
          </w:tcPr>
          <w:p w14:paraId="45C006A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4"/>
                <w:szCs w:val="1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انحراف مسار الألكترون أكبر من انحراف مسار البروتون؛ لأن  (     ) mp=me   (     ) mp me   (     ) 1=me/mp   (     ) mp me</w:t>
            </w:r>
          </w:p>
        </w:tc>
      </w:tr>
      <w:tr w14:paraId="58714580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0977B9A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51197383">
            <w:pPr>
              <w:spacing w:after="0" w:line="240" w:lineRule="auto"/>
              <w:rPr>
                <w:rtl/>
              </w:rPr>
            </w:pPr>
          </w:p>
        </w:tc>
      </w:tr>
      <w:tr w14:paraId="1823F40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0C84225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4425E0C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7C2C500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4B084AA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39AD708"/>
    <w:p w14:paraId="57FEE199"/>
    <w:p w14:paraId="74F88F50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063374D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50BFCE66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695E12AB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الثاني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58FF0E60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BD7541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1EC0C5D4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64720B9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7C51C90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F159BB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7B04A0B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B974EE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6BA981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6F6A39D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59390A6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35091577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689A95D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2D3A5EE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1D587BD2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5C5D59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2EE4749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31F27E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2E38CA0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525F679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031FCF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5F10FAC2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36A6DF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0966655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3889385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03425D3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الكهرومغناطيسية--تفاعلات المجالات الكهربائية والمغناطسية والمادة
</w:t>
            </w:r>
          </w:p>
        </w:tc>
        <w:tc>
          <w:tcPr>
            <w:tcW w:w="2562" w:type="dxa"/>
            <w:gridSpan w:val="2"/>
            <w:vAlign w:val="center"/>
          </w:tcPr>
          <w:p w14:paraId="23FE95A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الكهرومغناطيسية--المجالات الكهربائية والمغناطيسية في الفضاء
</w:t>
            </w:r>
          </w:p>
        </w:tc>
        <w:tc>
          <w:tcPr>
            <w:tcW w:w="2562" w:type="dxa"/>
            <w:gridSpan w:val="2"/>
            <w:vAlign w:val="center"/>
          </w:tcPr>
          <w:p w14:paraId="78C08BA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الكهرومغناطيسية--المجالات الكهربائية والمغناطيسية في الفضاء
</w:t>
            </w:r>
          </w:p>
        </w:tc>
        <w:tc>
          <w:tcPr>
            <w:tcW w:w="2562" w:type="dxa"/>
            <w:vAlign w:val="center"/>
          </w:tcPr>
          <w:p w14:paraId="0DBB526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نظرية الكم--النموذج الجسيمي للموجات
</w:t>
            </w:r>
          </w:p>
        </w:tc>
        <w:tc>
          <w:tcPr>
            <w:tcW w:w="2591" w:type="dxa"/>
            <w:vAlign w:val="center"/>
          </w:tcPr>
          <w:p w14:paraId="6655ECB2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نظرية الكم--النموذج الجسيمي للموجات
</w:t>
            </w:r>
          </w:p>
        </w:tc>
      </w:tr>
      <w:tr w14:paraId="6ED28A3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384AC46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275D585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أنبوب الأشعة المهبطية
تحل مسائل تتضمن التفاعل بين الجسيمات المشحونة والمجالات الكهربائية والمغناطيسية في أنبوب الأشعة المهبطية ومطياف الكتلة</w:t>
            </w:r>
          </w:p>
        </w:tc>
        <w:tc>
          <w:tcPr>
            <w:tcW w:w="2562" w:type="dxa"/>
            <w:gridSpan w:val="2"/>
            <w:vAlign w:val="center"/>
          </w:tcPr>
          <w:p w14:paraId="4311FE68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تحل مسائل تتضمن انتشار الموجات الكهرومغناطيسية في المواد العازلة للكهرباء
تحل مسائل تتضمن خصائص الموجات الكهرومغناطيسية</w:t>
            </w:r>
          </w:p>
        </w:tc>
        <w:tc>
          <w:tcPr>
            <w:tcW w:w="2562" w:type="dxa"/>
            <w:gridSpan w:val="2"/>
            <w:vAlign w:val="center"/>
          </w:tcPr>
          <w:p w14:paraId="2459B39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تحل مسائل تتضمن انتشار الموجات الكهرومغناطيسية في المواد العازلة للكهرباء
تحل مسائل تتضمن خصائص الموجات الكهرومغناطيسية</w:t>
            </w:r>
          </w:p>
        </w:tc>
        <w:tc>
          <w:tcPr>
            <w:tcW w:w="2562" w:type="dxa"/>
            <w:vAlign w:val="center"/>
          </w:tcPr>
          <w:p w14:paraId="204BC9E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الطيف المنبعث من جسم ساخن
تفسر التأثير الكهروضوئي وتأثير كومبتون</w:t>
            </w:r>
          </w:p>
        </w:tc>
        <w:tc>
          <w:tcPr>
            <w:tcW w:w="2591" w:type="dxa"/>
            <w:vAlign w:val="center"/>
          </w:tcPr>
          <w:p w14:paraId="168E5EA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الطيف المنبعث من جسم ساخن
تفسر التأثير الكهروضوئي وتأثير كومبتون</w:t>
            </w:r>
          </w:p>
        </w:tc>
      </w:tr>
      <w:tr w14:paraId="49D252E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1E0DD78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1412CEB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انحراف مسار الألكترون أكبر من انحراف مسار البروتون؛ لأن  (     ) mp=me   (     ) mp me   (     ) 1=me/mp   (     ) mp me</w:t>
            </w:r>
          </w:p>
        </w:tc>
        <w:tc>
          <w:tcPr>
            <w:tcW w:w="2562" w:type="dxa"/>
            <w:gridSpan w:val="2"/>
            <w:vAlign w:val="center"/>
          </w:tcPr>
          <w:p w14:paraId="3091B09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تكون مساحة سطح الطبق اللاقط كبيرة لتفريق الموجات الكهرومغناطيسية  (     )</w:t>
            </w:r>
          </w:p>
        </w:tc>
        <w:tc>
          <w:tcPr>
            <w:tcW w:w="2562" w:type="dxa"/>
            <w:gridSpan w:val="2"/>
            <w:vAlign w:val="center"/>
          </w:tcPr>
          <w:p w14:paraId="6030E78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تكون مساحة سطح الطبق اللاقط كبيرة لتفريق الموجات الكهرومغناطيسية  (     )</w:t>
            </w:r>
          </w:p>
        </w:tc>
        <w:tc>
          <w:tcPr>
            <w:tcW w:w="2562" w:type="dxa"/>
            <w:vAlign w:val="center"/>
          </w:tcPr>
          <w:p w14:paraId="4F2EE8E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الفوتونات تحقق قانوني حفظ الزخم، والطاقة عندما تصطدم بجسيمات أخرى مثل الإلكترونات  (     )</w:t>
            </w:r>
          </w:p>
        </w:tc>
        <w:tc>
          <w:tcPr>
            <w:tcW w:w="2591" w:type="dxa"/>
            <w:vAlign w:val="center"/>
          </w:tcPr>
          <w:p w14:paraId="55A8DA7A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الفوتونات تحقق قانوني حفظ الزخم، والطاقة عندما تصطدم بجسيمات أخرى مثل الإلكترونات  (     )</w:t>
            </w:r>
          </w:p>
        </w:tc>
      </w:tr>
      <w:tr w14:paraId="2AC294F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24C29CC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5904DDEC">
            <w:pPr>
              <w:spacing w:after="0" w:line="240" w:lineRule="auto"/>
              <w:rPr>
                <w:rtl/>
              </w:rPr>
            </w:pPr>
          </w:p>
        </w:tc>
      </w:tr>
      <w:tr w14:paraId="6D6A07B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05D935E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78F5898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7EAACD9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799F401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A73ADDF"/>
    <w:p w14:paraId="326E5E87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14"/>
        <w:gridCol w:w="2577"/>
      </w:tblGrid>
      <w:tr w14:paraId="5A4847B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2BB7920D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3C6ABF09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الثالث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662F8C97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931724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08F98CBF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gridSpan w:val="2"/>
            <w:shd w:val="clear" w:color="auto" w:fill="FFFFFF" w:themeFill="background1"/>
            <w:vAlign w:val="center"/>
          </w:tcPr>
          <w:p w14:paraId="6899406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48AAC21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1F34BD0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DB01D5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3863587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645CBB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4EA4CFF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gridSpan w:val="2"/>
            <w:shd w:val="clear" w:color="auto" w:fill="DEEAF6" w:themeFill="accent1" w:themeFillTint="33"/>
            <w:vAlign w:val="center"/>
          </w:tcPr>
          <w:p w14:paraId="23CB488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18DAE8B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59E555D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3DAC580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F5C048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32FD988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184F9F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2F779F5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CD6551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6DC2878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9CD3BA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gridSpan w:val="2"/>
            <w:shd w:val="clear" w:color="auto" w:fill="DEEAF6" w:themeFill="accent1" w:themeFillTint="33"/>
            <w:vAlign w:val="center"/>
          </w:tcPr>
          <w:p w14:paraId="442F109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5E04C4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586600E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211E2D70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1DC1F8A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نظرية الكم--موجات المادة
</w:t>
            </w:r>
          </w:p>
        </w:tc>
        <w:tc>
          <w:tcPr>
            <w:tcW w:w="2562" w:type="dxa"/>
            <w:gridSpan w:val="2"/>
            <w:vAlign w:val="center"/>
          </w:tcPr>
          <w:p w14:paraId="356E00A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نظرية الكم--موجات المادة
</w:t>
            </w:r>
          </w:p>
        </w:tc>
        <w:tc>
          <w:tcPr>
            <w:tcW w:w="2562" w:type="dxa"/>
            <w:gridSpan w:val="2"/>
            <w:vAlign w:val="center"/>
          </w:tcPr>
          <w:p w14:paraId="581AFD0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الذرة--نموذج بور الذري
</w:t>
            </w:r>
          </w:p>
        </w:tc>
        <w:tc>
          <w:tcPr>
            <w:tcW w:w="2576" w:type="dxa"/>
            <w:gridSpan w:val="2"/>
            <w:vAlign w:val="center"/>
          </w:tcPr>
          <w:p w14:paraId="482906A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الذرة--نموذج بور الذري
</w:t>
            </w:r>
          </w:p>
        </w:tc>
        <w:tc>
          <w:tcPr>
            <w:tcW w:w="2577" w:type="dxa"/>
            <w:vAlign w:val="center"/>
          </w:tcPr>
          <w:p w14:paraId="1E69B58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الذرة--النموذج الكمي للذرة
</w:t>
            </w:r>
          </w:p>
        </w:tc>
      </w:tr>
      <w:tr w14:paraId="3A7D63F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5C3D068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2C30C29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الطبيعة المزدوجة للموجات والجسيمات ، وأهمية مبدأ عدم التحديد لهيزنبرغ
تطبق معادلة دي برولي في حل مسائل عددية</w:t>
            </w:r>
          </w:p>
        </w:tc>
        <w:tc>
          <w:tcPr>
            <w:tcW w:w="2562" w:type="dxa"/>
            <w:gridSpan w:val="2"/>
            <w:vAlign w:val="center"/>
          </w:tcPr>
          <w:p w14:paraId="65A4CD6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الطبيعة المزدوجة للموجات والجسيمات ، وأهمية مبدأ عدم التحديد لهيزنبرغ
تطبق معادلة دي برولي في حل مسائل عددية</w:t>
            </w:r>
          </w:p>
        </w:tc>
        <w:tc>
          <w:tcPr>
            <w:tcW w:w="2562" w:type="dxa"/>
            <w:gridSpan w:val="2"/>
            <w:vAlign w:val="center"/>
          </w:tcPr>
          <w:p w14:paraId="7E68C00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تركيب نواة الذرة
تقارن بين طيف الانبعاث المستمر وطيف الانبعاث الخطي</w:t>
            </w:r>
          </w:p>
        </w:tc>
        <w:tc>
          <w:tcPr>
            <w:tcW w:w="2576" w:type="dxa"/>
            <w:gridSpan w:val="2"/>
            <w:vAlign w:val="center"/>
          </w:tcPr>
          <w:p w14:paraId="4EC16C2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تركيب نواة الذرة
تقارن بين طيف الانبعاث المستمر وطيف الانبعاث الخطي</w:t>
            </w:r>
          </w:p>
        </w:tc>
        <w:tc>
          <w:tcPr>
            <w:tcW w:w="2577" w:type="dxa"/>
            <w:vAlign w:val="center"/>
          </w:tcPr>
          <w:p w14:paraId="139AF388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توضح كيف يعمل الليزر
تصف خصائص ضوء الليزر</w:t>
            </w:r>
          </w:p>
        </w:tc>
      </w:tr>
      <w:tr w14:paraId="0130023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77130C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4C6A378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في التجربة التي أجراها العالم تومسون  أظهرت الالكترونات سلوكاً موجياً وهو (     ) الزخم   (     ) التداخل   (     ) الحيود   (     ) الحيود والتداخل</w:t>
            </w:r>
          </w:p>
        </w:tc>
        <w:tc>
          <w:tcPr>
            <w:tcW w:w="2562" w:type="dxa"/>
            <w:gridSpan w:val="2"/>
            <w:vAlign w:val="center"/>
          </w:tcPr>
          <w:p w14:paraId="21E06CF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في التجربة التي أجراها العالم تومسون  أظهرت الالكترونات سلوكاً موجياً وهو (     ) الزخم   (     ) التداخل   (     ) الحيود   (     ) الحيود والتداخل</w:t>
            </w:r>
          </w:p>
        </w:tc>
        <w:tc>
          <w:tcPr>
            <w:tcW w:w="2562" w:type="dxa"/>
            <w:gridSpan w:val="2"/>
            <w:vAlign w:val="center"/>
          </w:tcPr>
          <w:p w14:paraId="39C1FBE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أي نماذج الذرة الآتية تعتمد على تجربة صفيحة الذهب الرقيقة لراذرفورد؟  (     ) نموذج بور   (     ) النموذج النووي   (     ) نموذج فطيرة الخوخ   (     ) النموذج الكمي الميكانيكي</w:t>
            </w:r>
          </w:p>
        </w:tc>
        <w:tc>
          <w:tcPr>
            <w:tcW w:w="2576" w:type="dxa"/>
            <w:gridSpan w:val="2"/>
            <w:vAlign w:val="center"/>
          </w:tcPr>
          <w:p w14:paraId="3E6E0E3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أي نماذج الذرة الآتية تعتمد على تجربة صفيحة الذهب الرقيقة لراذرفورد؟  (     ) نموذج بور   (     ) النموذج النووي   (     ) نموذج فطيرة الخوخ   (     ) النموذج الكمي الميكانيكي</w:t>
            </w:r>
          </w:p>
        </w:tc>
        <w:tc>
          <w:tcPr>
            <w:tcW w:w="2577" w:type="dxa"/>
            <w:vAlign w:val="center"/>
          </w:tcPr>
          <w:p w14:paraId="61EAA10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جهاز الهولوجرام يعد من تطبيقات .... (     ) تأثير كمبتون     (     ) التأثير الكهروضوئي   (     ) ضوء الليزر   (     ) التحليل الطيفي</w:t>
            </w:r>
          </w:p>
        </w:tc>
      </w:tr>
      <w:tr w14:paraId="75E77106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29D1400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8"/>
            <w:shd w:val="clear" w:color="auto" w:fill="F1F1F1" w:themeFill="background1" w:themeFillShade="F2"/>
          </w:tcPr>
          <w:p w14:paraId="5B9172A1">
            <w:pPr>
              <w:spacing w:after="0" w:line="240" w:lineRule="auto"/>
              <w:rPr>
                <w:rtl/>
              </w:rPr>
            </w:pPr>
          </w:p>
        </w:tc>
      </w:tr>
      <w:tr w14:paraId="70F7DF80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4AE7F64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3FE0E36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317FE04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4"/>
            <w:shd w:val="clear" w:color="auto" w:fill="auto"/>
            <w:vAlign w:val="center"/>
          </w:tcPr>
          <w:p w14:paraId="11CC983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549AE9C"/>
    <w:p w14:paraId="5DA38F5B"/>
    <w:p w14:paraId="0F9EEE60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14"/>
        <w:gridCol w:w="2577"/>
      </w:tblGrid>
      <w:tr w14:paraId="7471C5E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17E49A61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38033C94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الرابع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6F37BC39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83CDB5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61B712D6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gridSpan w:val="2"/>
            <w:shd w:val="clear" w:color="auto" w:fill="FFFFFF" w:themeFill="background1"/>
            <w:vAlign w:val="center"/>
          </w:tcPr>
          <w:p w14:paraId="475A761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377BB7B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BC1C51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63B320E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A0323E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586104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532BD4E0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gridSpan w:val="2"/>
            <w:shd w:val="clear" w:color="auto" w:fill="DEEAF6" w:themeFill="accent1" w:themeFillTint="33"/>
            <w:vAlign w:val="center"/>
          </w:tcPr>
          <w:p w14:paraId="5392881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49D2955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043CDC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1D95D9D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8978A1C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DD490E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9F8C7E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D10B691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69222E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70CC5FE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3838B9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gridSpan w:val="2"/>
            <w:shd w:val="clear" w:color="auto" w:fill="DEEAF6" w:themeFill="accent1" w:themeFillTint="33"/>
            <w:vAlign w:val="center"/>
          </w:tcPr>
          <w:p w14:paraId="09DB3F2C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1776F64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3C2C363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2EB860D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72679BA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الذرة--النموذج الكمي للذرة
</w:t>
            </w:r>
          </w:p>
        </w:tc>
        <w:tc>
          <w:tcPr>
            <w:tcW w:w="2562" w:type="dxa"/>
            <w:gridSpan w:val="2"/>
            <w:vAlign w:val="center"/>
          </w:tcPr>
          <w:p w14:paraId="0BCA379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إلكترونيات الحالة الصلبة--التوصيل الكهربائي في المواد الصلبة
</w:t>
            </w:r>
          </w:p>
        </w:tc>
        <w:tc>
          <w:tcPr>
            <w:tcW w:w="2562" w:type="dxa"/>
            <w:gridSpan w:val="2"/>
            <w:vAlign w:val="center"/>
          </w:tcPr>
          <w:p w14:paraId="67C2ABF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إلكترونيات الحالة الصلبة--التوصيل الكهربائي في المواد الصلبة
</w:t>
            </w:r>
          </w:p>
        </w:tc>
        <w:tc>
          <w:tcPr>
            <w:tcW w:w="2576" w:type="dxa"/>
            <w:gridSpan w:val="2"/>
            <w:vAlign w:val="center"/>
          </w:tcPr>
          <w:p w14:paraId="267EF52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إلكترونيات الحالة الصلبة--الأداوت الالكترونية
</w:t>
            </w:r>
          </w:p>
        </w:tc>
        <w:tc>
          <w:tcPr>
            <w:tcW w:w="2577" w:type="dxa"/>
            <w:vAlign w:val="center"/>
          </w:tcPr>
          <w:p w14:paraId="498CDDF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إلكترونيات الحالة الصلبة--الأداوت الالكترونية
</w:t>
            </w:r>
          </w:p>
        </w:tc>
      </w:tr>
      <w:tr w14:paraId="5C42924F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072945B0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556312A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توضح كيف يعمل الليزر
تصف خصائص ضوء الليزر</w:t>
            </w:r>
          </w:p>
        </w:tc>
        <w:tc>
          <w:tcPr>
            <w:tcW w:w="2562" w:type="dxa"/>
            <w:gridSpan w:val="2"/>
            <w:vAlign w:val="center"/>
          </w:tcPr>
          <w:p w14:paraId="54CF86D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تقارن بين أشباه الموصلات من النوع n وأشباه الموصلات من النوع p
تصف حركة الإلكترون في الموصلات وأشباه الموصلات الكهربائية</w:t>
            </w:r>
          </w:p>
        </w:tc>
        <w:tc>
          <w:tcPr>
            <w:tcW w:w="2562" w:type="dxa"/>
            <w:gridSpan w:val="2"/>
            <w:vAlign w:val="center"/>
          </w:tcPr>
          <w:p w14:paraId="38745E0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تقارن بين أشباه الموصلات من النوع n وأشباه الموصلات من النوع p
تصف حركة الإلكترون في الموصلات وأشباه الموصلات الكهربائية</w:t>
            </w:r>
          </w:p>
        </w:tc>
        <w:tc>
          <w:tcPr>
            <w:tcW w:w="2576" w:type="dxa"/>
            <w:gridSpan w:val="2"/>
            <w:vAlign w:val="center"/>
          </w:tcPr>
          <w:p w14:paraId="6E9444A8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كيف يعمل الدايود على جعل التيار الكهربائي يسرى في اتجاه واحد فقط
توضح كيف يمكن للترانزستور العمل على زيادة أو تضخيم تغيرات الجهد</w:t>
            </w:r>
          </w:p>
        </w:tc>
        <w:tc>
          <w:tcPr>
            <w:tcW w:w="2577" w:type="dxa"/>
            <w:vAlign w:val="center"/>
          </w:tcPr>
          <w:p w14:paraId="49444CC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كيف يعمل الدايود على جعل التيار الكهربائي يسرى في اتجاه واحد فقط
توضح كيف يمكن للترانزستور العمل على زيادة أو تضخيم تغيرات الجهد</w:t>
            </w:r>
          </w:p>
        </w:tc>
      </w:tr>
      <w:tr w14:paraId="1AA69C2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00F3D1F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24CBC95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جهاز الهولوجرام يعد من تطبيقات .... (     ) تأثير كمبتون     (     ) التأثير الكهروضوئي   (     ) ضوء الليزر   (     ) التحليل الطيفي</w:t>
            </w:r>
          </w:p>
        </w:tc>
        <w:tc>
          <w:tcPr>
            <w:tcW w:w="2562" w:type="dxa"/>
            <w:gridSpan w:val="2"/>
            <w:vAlign w:val="center"/>
          </w:tcPr>
          <w:p w14:paraId="38F75D0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أشباه الموصلات التي توصل نتيجة تحرير الإلكترونات والفجوات حرارياً تسمى  (     ) موصلات نقية   (     ) أشباه موصلات نقية   (     ) اشباه موصلات معالجة   (     ) موصلات غير نقيه</w:t>
            </w:r>
          </w:p>
        </w:tc>
        <w:tc>
          <w:tcPr>
            <w:tcW w:w="2562" w:type="dxa"/>
            <w:gridSpan w:val="2"/>
            <w:vAlign w:val="center"/>
          </w:tcPr>
          <w:p w14:paraId="04B7CB4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أشباه الموصلات التي توصل نتيجة تحرير الإلكترونات والفجوات حرارياً تسمى  (     ) موصلات نقية   (     ) أشباه موصلات نقية   (     ) اشباه موصلات معالجة   (     ) موصلات غير نقيه</w:t>
            </w:r>
          </w:p>
        </w:tc>
        <w:tc>
          <w:tcPr>
            <w:tcW w:w="2576" w:type="dxa"/>
            <w:gridSpan w:val="2"/>
            <w:vAlign w:val="center"/>
          </w:tcPr>
          <w:p w14:paraId="3BADCAA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يعمل الترانزستور على تقويم التيار الكهربائي المتردد   (     )</w:t>
            </w:r>
          </w:p>
        </w:tc>
        <w:tc>
          <w:tcPr>
            <w:tcW w:w="2577" w:type="dxa"/>
            <w:vAlign w:val="center"/>
          </w:tcPr>
          <w:p w14:paraId="340ABAA2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يعمل الترانزستور على تقويم التيار الكهربائي المتردد   (     )</w:t>
            </w:r>
          </w:p>
        </w:tc>
      </w:tr>
      <w:tr w14:paraId="4A31B406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04C0C8E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8"/>
            <w:shd w:val="clear" w:color="auto" w:fill="F1F1F1" w:themeFill="background1" w:themeFillShade="F2"/>
          </w:tcPr>
          <w:p w14:paraId="72E805C1">
            <w:pPr>
              <w:spacing w:after="0" w:line="240" w:lineRule="auto"/>
              <w:rPr>
                <w:rtl/>
              </w:rPr>
            </w:pPr>
          </w:p>
        </w:tc>
      </w:tr>
      <w:tr w14:paraId="2422F7BF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6FD42E3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39FD93E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501FC71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4"/>
            <w:shd w:val="clear" w:color="auto" w:fill="auto"/>
            <w:vAlign w:val="center"/>
          </w:tcPr>
          <w:p w14:paraId="6E25330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5BCAB1F"/>
    <w:p w14:paraId="646C48BF"/>
    <w:p w14:paraId="3F25630B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21730E8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6F28AFC0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06EB3F68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الخامس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09EC2691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3903B7A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0F469702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221BD97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218544AC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5601893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13F9EEF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650D6A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648114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65CC6CD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6E788B4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0690C1D0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10A82E6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7B57F697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1FFBC5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78EC43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5A4DAB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86A4A2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CE1E632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2BECF0F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254A9EE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71179C6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482BCC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3CB9B34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7A67FFC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02CC96D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النووية--النواة
</w:t>
            </w:r>
          </w:p>
        </w:tc>
        <w:tc>
          <w:tcPr>
            <w:tcW w:w="2562" w:type="dxa"/>
            <w:gridSpan w:val="2"/>
            <w:vAlign w:val="center"/>
          </w:tcPr>
          <w:p w14:paraId="7DC3814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النووية--النواة
</w:t>
            </w:r>
          </w:p>
        </w:tc>
        <w:tc>
          <w:tcPr>
            <w:tcW w:w="2562" w:type="dxa"/>
            <w:gridSpan w:val="2"/>
            <w:vAlign w:val="center"/>
          </w:tcPr>
          <w:p w14:paraId="5042A1E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النووية--الاضمحلال النووي والتفاعلات النووية
</w:t>
            </w:r>
          </w:p>
        </w:tc>
        <w:tc>
          <w:tcPr>
            <w:tcW w:w="2562" w:type="dxa"/>
            <w:vAlign w:val="center"/>
          </w:tcPr>
          <w:p w14:paraId="274B406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النووية--الاضمحلال النووي والتفاعلات النووية
</w:t>
            </w:r>
          </w:p>
        </w:tc>
        <w:tc>
          <w:tcPr>
            <w:tcW w:w="2591" w:type="dxa"/>
            <w:vAlign w:val="center"/>
          </w:tcPr>
          <w:p w14:paraId="0CF20BC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النووية--وحدات بناء المادة
</w:t>
            </w:r>
          </w:p>
        </w:tc>
      </w:tr>
      <w:tr w14:paraId="0481379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3B1F34D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373AB6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تربط الطاقة الناتجة عن التفاعل النووي مع التغير في طاقة الربط النووية في أثناء التفاعل
تحدد عدد النيوترونات والبروتونات في النواة</w:t>
            </w:r>
          </w:p>
        </w:tc>
        <w:tc>
          <w:tcPr>
            <w:tcW w:w="2562" w:type="dxa"/>
            <w:gridSpan w:val="2"/>
            <w:vAlign w:val="center"/>
          </w:tcPr>
          <w:p w14:paraId="626EC48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تربط الطاقة الناتجة عن التفاعل النووي مع التغير في طاقة الربط النووية في أثناء التفاعل
تحدد عدد النيوترونات والبروتونات في النواة</w:t>
            </w:r>
          </w:p>
        </w:tc>
        <w:tc>
          <w:tcPr>
            <w:tcW w:w="2562" w:type="dxa"/>
            <w:gridSpan w:val="2"/>
            <w:vAlign w:val="center"/>
          </w:tcPr>
          <w:p w14:paraId="4E75BAD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المفاعل النووي
تحل معادلات نووية</w:t>
            </w:r>
          </w:p>
        </w:tc>
        <w:tc>
          <w:tcPr>
            <w:tcW w:w="2562" w:type="dxa"/>
            <w:vAlign w:val="center"/>
          </w:tcPr>
          <w:p w14:paraId="158CCCF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المفاعل النووي
تحل معادلات نووية</w:t>
            </w:r>
          </w:p>
        </w:tc>
        <w:tc>
          <w:tcPr>
            <w:tcW w:w="2591" w:type="dxa"/>
            <w:vAlign w:val="center"/>
          </w:tcPr>
          <w:p w14:paraId="55A05F9F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مسارعات الجسيمات وكواشف الجسيمات
تصف النموذج المعياري للمادة وتفسر دور حاملات القوة</w:t>
            </w:r>
          </w:p>
        </w:tc>
      </w:tr>
      <w:tr w14:paraId="5F7C3C20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6C3DA99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149FDF9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طاقة الربط النووي سالبة   (     )</w:t>
            </w:r>
          </w:p>
        </w:tc>
        <w:tc>
          <w:tcPr>
            <w:tcW w:w="2562" w:type="dxa"/>
            <w:gridSpan w:val="2"/>
            <w:vAlign w:val="center"/>
          </w:tcPr>
          <w:p w14:paraId="5452A19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طاقة الربط النووي سالبة   (     )</w:t>
            </w:r>
          </w:p>
        </w:tc>
        <w:tc>
          <w:tcPr>
            <w:tcW w:w="2562" w:type="dxa"/>
            <w:gridSpan w:val="2"/>
            <w:vAlign w:val="center"/>
          </w:tcPr>
          <w:p w14:paraId="010EEF7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أكمل الفراغات فيما يلي   أ.العمليات التي تحدث في الشمس مثال على عملية    ...............   النووي</w:t>
            </w:r>
          </w:p>
        </w:tc>
        <w:tc>
          <w:tcPr>
            <w:tcW w:w="2562" w:type="dxa"/>
            <w:vAlign w:val="center"/>
          </w:tcPr>
          <w:p w14:paraId="35062DA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أكمل الفراغات فيما يلي   أ.العمليات التي تحدث في الشمس مثال على عملية    ...............   النووي</w:t>
            </w:r>
          </w:p>
        </w:tc>
        <w:tc>
          <w:tcPr>
            <w:tcW w:w="2591" w:type="dxa"/>
            <w:vAlign w:val="center"/>
          </w:tcPr>
          <w:p w14:paraId="4912560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يتكون النموذج المعياري من الكواركات واللبتونات،  وحاملات القوة  (     )</w:t>
            </w:r>
          </w:p>
        </w:tc>
      </w:tr>
      <w:tr w14:paraId="0D5E637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3C1B827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0669368D">
            <w:pPr>
              <w:spacing w:after="0" w:line="240" w:lineRule="auto"/>
              <w:rPr>
                <w:rtl/>
              </w:rPr>
            </w:pPr>
          </w:p>
        </w:tc>
      </w:tr>
      <w:tr w14:paraId="76275E7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791B88F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3061CA9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32A6B81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40F0EFA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56CCD8F"/>
    <w:p w14:paraId="32523154"/>
    <w:p w14:paraId="467A4591"/>
    <w:p w14:paraId="3FC8F534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56F4B0F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7004D95B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05137019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السادس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55C02242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6EF1A2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5DCA9A96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40995F9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32A4F97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0435EBC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23A2979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2F9E707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C4C912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5069EA9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0A59D09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50D5C6A7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E04242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3A10C087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37CF74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0E80CB3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F26627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4F4CB752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3240E3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31B14CC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BB9597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4B97A07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6AFC99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5A01C37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3432C70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1B09AFD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النووية--وحدات بناء المادة
</w:t>
            </w:r>
          </w:p>
        </w:tc>
        <w:tc>
          <w:tcPr>
            <w:tcW w:w="2562" w:type="dxa"/>
            <w:gridSpan w:val="2"/>
            <w:vAlign w:val="center"/>
          </w:tcPr>
          <w:p w14:paraId="5DAB4DE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الحث الكهرومغناطيسي--التيار الكهربائي الناتج عن تغير المجالات المغناطيسية
</w:t>
            </w:r>
          </w:p>
        </w:tc>
        <w:tc>
          <w:tcPr>
            <w:tcW w:w="2562" w:type="dxa"/>
            <w:gridSpan w:val="2"/>
            <w:vAlign w:val="center"/>
          </w:tcPr>
          <w:p w14:paraId="0FD77FD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الحث الكهرومغناطيسي--التيار الكهربائي الناتج عن تغير المجالات المغناطيسية
</w:t>
            </w:r>
          </w:p>
        </w:tc>
        <w:tc>
          <w:tcPr>
            <w:tcW w:w="2562" w:type="dxa"/>
            <w:vAlign w:val="center"/>
          </w:tcPr>
          <w:p w14:paraId="595113E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الحث الكهرومغناطيسي--تغير المجالات المغناطيسية يولد قوة دافعة كهربائية حثية
</w:t>
            </w:r>
          </w:p>
        </w:tc>
        <w:tc>
          <w:tcPr>
            <w:tcW w:w="2591" w:type="dxa"/>
            <w:vAlign w:val="center"/>
          </w:tcPr>
          <w:p w14:paraId="167678B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الحث الكهرومغناطيسي--تغير المجالات المغناطيسية يولد قوة دافعة كهربائية حثية
</w:t>
            </w:r>
          </w:p>
        </w:tc>
      </w:tr>
      <w:tr w14:paraId="22C6E5A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6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10B5AFC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2524906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مسارعات الجسيمات وكواشف الجسيمات
تصف النموذج المعياري للمادة وتفسر دور حاملات القوة</w:t>
            </w:r>
          </w:p>
        </w:tc>
        <w:tc>
          <w:tcPr>
            <w:tcW w:w="2562" w:type="dxa"/>
            <w:gridSpan w:val="2"/>
            <w:vAlign w:val="center"/>
          </w:tcPr>
          <w:p w14:paraId="06C47A9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تعرف القوة الدافعة الكهربائية
تحل مسائل تتضمن حركة أسلاك في مجالات مغناطيسية</w:t>
            </w:r>
          </w:p>
        </w:tc>
        <w:tc>
          <w:tcPr>
            <w:tcW w:w="2562" w:type="dxa"/>
            <w:gridSpan w:val="2"/>
            <w:vAlign w:val="center"/>
          </w:tcPr>
          <w:p w14:paraId="3AA09F8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تعرف القوة الدافعة الكهربائية
تحل مسائل تتضمن حركة أسلاك في مجالات مغناطيسية</w:t>
            </w:r>
          </w:p>
        </w:tc>
        <w:tc>
          <w:tcPr>
            <w:tcW w:w="2562" w:type="dxa"/>
            <w:vAlign w:val="center"/>
          </w:tcPr>
          <w:p w14:paraId="3F156E6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تطبق قانون لينز
تحل مسائل متعلقة بالمحولات تتضمن الجهد والتيار ونسب عدد اللفات</w:t>
            </w:r>
          </w:p>
        </w:tc>
        <w:tc>
          <w:tcPr>
            <w:tcW w:w="2591" w:type="dxa"/>
            <w:vAlign w:val="center"/>
          </w:tcPr>
          <w:p w14:paraId="3439A6F5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تطبق قانون لينز
تحل مسائل متعلقة بالمحولات تتضمن الجهد والتيار ونسب عدد اللفات</w:t>
            </w:r>
          </w:p>
        </w:tc>
      </w:tr>
      <w:tr w14:paraId="45979521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3656A5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24AEA08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يتكون النموذج المعياري من الكواركات واللبتونات،  وحاملات القوة  (     )</w:t>
            </w:r>
          </w:p>
        </w:tc>
        <w:tc>
          <w:tcPr>
            <w:tcW w:w="2562" w:type="dxa"/>
            <w:gridSpan w:val="2"/>
            <w:vAlign w:val="center"/>
          </w:tcPr>
          <w:p w14:paraId="5A50D84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الحركة النسبية بين السلك، والمجال المغناطيسي تولد تيارا كهربائيا  (     )</w:t>
            </w:r>
          </w:p>
        </w:tc>
        <w:tc>
          <w:tcPr>
            <w:tcW w:w="2562" w:type="dxa"/>
            <w:gridSpan w:val="2"/>
            <w:vAlign w:val="center"/>
          </w:tcPr>
          <w:p w14:paraId="6A85B39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الحركة النسبية بين السلك، والمجال المغناطيسي تولد تيارا كهربائيا  (     )</w:t>
            </w:r>
          </w:p>
        </w:tc>
        <w:tc>
          <w:tcPr>
            <w:tcW w:w="2562" w:type="dxa"/>
            <w:vAlign w:val="center"/>
          </w:tcPr>
          <w:p w14:paraId="2648AB7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عندما يكون التيار الكهربائي، والمجال المغناطيسي ثابتين تكون القوة الدافعة الكهربائية العكسية   (     ) تتزايد   (     ) صفر   (     ) تتناقص   (     ) لا تتغير</w:t>
            </w:r>
          </w:p>
        </w:tc>
        <w:tc>
          <w:tcPr>
            <w:tcW w:w="2591" w:type="dxa"/>
            <w:vAlign w:val="center"/>
          </w:tcPr>
          <w:p w14:paraId="4CE6996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عندما يكون التيار الكهربائي، والمجال المغناطيسي ثابتين تكون القوة الدافعة الكهربائية العكسية   (     ) تتزايد   (     ) صفر   (     ) تتناقص   (     ) لا تتغير</w:t>
            </w:r>
          </w:p>
        </w:tc>
      </w:tr>
      <w:tr w14:paraId="0D3C5CF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6340D9D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49F31368">
            <w:pPr>
              <w:spacing w:after="0" w:line="240" w:lineRule="auto"/>
              <w:rPr>
                <w:rtl/>
              </w:rPr>
            </w:pPr>
          </w:p>
        </w:tc>
      </w:tr>
      <w:tr w14:paraId="36DB2141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5FC83870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1F2A1B6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2D6AC5F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743881D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E04523C"/>
    <w:p w14:paraId="7B7668A5"/>
    <w:p w14:paraId="3E8D5C4E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4F00FF4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3109B03D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5BBAEE86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السابع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2D5D66C5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733C501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6BDA1304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2818805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54A93B0D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44ED11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EB827F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49E1E2A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9C11C2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0061C4D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41C8EFE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7419CC3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B4B55C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4A52D13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39466A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4AE7E840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79D526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494589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EBF8F5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31319C3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6AEE73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4DFC369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DBC190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6C9DDE0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1CBBE7D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6FBA142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الكهرومغناطيسية--تفاعلات المجالات الكهربائية والمغناطسية والمادة
</w:t>
            </w:r>
          </w:p>
        </w:tc>
        <w:tc>
          <w:tcPr>
            <w:tcW w:w="2562" w:type="dxa"/>
            <w:gridSpan w:val="2"/>
            <w:vAlign w:val="center"/>
          </w:tcPr>
          <w:p w14:paraId="50A4B97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الكهرومغناطيسية--تفاعلات المجالات الكهربائية والمغناطسية والمادة
</w:t>
            </w:r>
          </w:p>
        </w:tc>
        <w:tc>
          <w:tcPr>
            <w:tcW w:w="2562" w:type="dxa"/>
            <w:gridSpan w:val="2"/>
            <w:vAlign w:val="center"/>
          </w:tcPr>
          <w:p w14:paraId="5A6D0AF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الكهرومغناطيسية--المجالات الكهربائية والمغناطيسية في الفضاء
</w:t>
            </w:r>
          </w:p>
        </w:tc>
        <w:tc>
          <w:tcPr>
            <w:tcW w:w="2562" w:type="dxa"/>
            <w:vAlign w:val="center"/>
          </w:tcPr>
          <w:p w14:paraId="244B5B3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الكهرومغناطيسية--المجالات الكهربائية والمغناطيسية في الفضاء
</w:t>
            </w:r>
          </w:p>
        </w:tc>
        <w:tc>
          <w:tcPr>
            <w:tcW w:w="2591" w:type="dxa"/>
            <w:vAlign w:val="center"/>
          </w:tcPr>
          <w:p w14:paraId="79F5FAA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نظرية الكم--النموذج الجسيمي للموجات
</w:t>
            </w:r>
          </w:p>
        </w:tc>
      </w:tr>
      <w:tr w14:paraId="29935E8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7F5C0BC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093C017F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أنبوب الأشعة المهبطية
تحل مسائل تتضمن التفاعل بين الجسيمات المشحونة والمجالات الكهربائية والمغناطيسية في أنبوب الأشعة المهبطية ومطياف الكتلة</w:t>
            </w:r>
          </w:p>
        </w:tc>
        <w:tc>
          <w:tcPr>
            <w:tcW w:w="2562" w:type="dxa"/>
            <w:gridSpan w:val="2"/>
            <w:vAlign w:val="center"/>
          </w:tcPr>
          <w:p w14:paraId="5E122DE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أنبوب الأشعة المهبطية
تحل مسائل تتضمن التفاعل بين الجسيمات المشحونة والمجالات الكهربائية والمغناطيسية في أنبوب الأشعة المهبطية ومطياف الكتلة</w:t>
            </w:r>
          </w:p>
        </w:tc>
        <w:tc>
          <w:tcPr>
            <w:tcW w:w="2562" w:type="dxa"/>
            <w:gridSpan w:val="2"/>
            <w:vAlign w:val="center"/>
          </w:tcPr>
          <w:p w14:paraId="7A776BF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تحل مسائل تتضمن انتشار الموجات الكهرومغناطيسية في المواد العازلة للكهرباء
تحل مسائل تتضمن خصائص الموجات الكهرومغناطيسية</w:t>
            </w:r>
          </w:p>
        </w:tc>
        <w:tc>
          <w:tcPr>
            <w:tcW w:w="2562" w:type="dxa"/>
            <w:vAlign w:val="center"/>
          </w:tcPr>
          <w:p w14:paraId="5276421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تحل مسائل تتضمن انتشار الموجات الكهرومغناطيسية في المواد العازلة للكهرباء
تحل مسائل تتضمن خصائص الموجات الكهرومغناطيسية</w:t>
            </w:r>
          </w:p>
        </w:tc>
        <w:tc>
          <w:tcPr>
            <w:tcW w:w="2591" w:type="dxa"/>
            <w:vAlign w:val="center"/>
          </w:tcPr>
          <w:p w14:paraId="1DD2585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الطيف المنبعث من جسم ساخن
تفسر التأثير الكهروضوئي وتأثير كومبتون</w:t>
            </w:r>
          </w:p>
        </w:tc>
      </w:tr>
      <w:tr w14:paraId="17B654F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159EADA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03797BA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انحراف مسار الألكترون أكبر من انحراف مسار البروتون؛ لأن  (     ) mp=me   (     ) mp me   (     ) 1=me/mp   (     ) mp me</w:t>
            </w:r>
          </w:p>
        </w:tc>
        <w:tc>
          <w:tcPr>
            <w:tcW w:w="2562" w:type="dxa"/>
            <w:gridSpan w:val="2"/>
            <w:vAlign w:val="center"/>
          </w:tcPr>
          <w:p w14:paraId="668952D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انحراف مسار الألكترون أكبر من انحراف مسار البروتون؛ لأن  (     ) mp=me   (     ) mp me   (     ) 1=me/mp   (     ) mp me</w:t>
            </w:r>
          </w:p>
        </w:tc>
        <w:tc>
          <w:tcPr>
            <w:tcW w:w="2562" w:type="dxa"/>
            <w:gridSpan w:val="2"/>
            <w:vAlign w:val="center"/>
          </w:tcPr>
          <w:p w14:paraId="3D3AE8A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تكون مساحة سطح الطبق اللاقط كبيرة لتفريق الموجات الكهرومغناطيسية  (     )</w:t>
            </w:r>
          </w:p>
        </w:tc>
        <w:tc>
          <w:tcPr>
            <w:tcW w:w="2562" w:type="dxa"/>
            <w:vAlign w:val="center"/>
          </w:tcPr>
          <w:p w14:paraId="17FC2882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تكون مساحة سطح الطبق اللاقط كبيرة لتفريق الموجات الكهرومغناطيسية  (     )</w:t>
            </w:r>
          </w:p>
        </w:tc>
        <w:tc>
          <w:tcPr>
            <w:tcW w:w="2591" w:type="dxa"/>
            <w:vAlign w:val="center"/>
          </w:tcPr>
          <w:p w14:paraId="3FAAD4E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الفوتونات تحقق قانوني حفظ الزخم، والطاقة عندما تصطدم بجسيمات أخرى مثل الإلكترونات  (     )</w:t>
            </w:r>
          </w:p>
        </w:tc>
      </w:tr>
      <w:tr w14:paraId="49E8ED5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48E5962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2ABDAED5">
            <w:pPr>
              <w:spacing w:after="0" w:line="240" w:lineRule="auto"/>
              <w:rPr>
                <w:rtl/>
              </w:rPr>
            </w:pPr>
          </w:p>
        </w:tc>
      </w:tr>
      <w:tr w14:paraId="08B34E2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07E69CF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351F9E1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18FFEE2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2D614C2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3DC3E7E"/>
    <w:p w14:paraId="7C608540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6D05874F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458406DF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75086429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الثامن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5DF78037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7AFE999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145821DC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1417B84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61CC4C9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0824C3C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577A0A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95B0E1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537957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106ECB2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057482D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4BF8418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5A4336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58CDAF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8A4994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E96C2B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7E529F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7FDADA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6F0D94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397A586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FC0CA6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0977B26C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5B06AA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</w:tr>
      <w:tr w14:paraId="3A0E73A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0DF71FC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5194" w:type="dxa"/>
            <w:gridSpan w:val="3"/>
            <w:vMerge w:val="restart"/>
            <w:vAlign w:val="center"/>
          </w:tcPr>
          <w:p w14:paraId="3209624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36"/>
                <w:szCs w:val="36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إجازة مطولة</w:t>
            </w:r>
          </w:p>
          <w:p w14:paraId="7CF8DEE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62" w:type="dxa"/>
            <w:gridSpan w:val="2"/>
            <w:vAlign w:val="center"/>
          </w:tcPr>
          <w:p w14:paraId="728CDE7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نظرية الكم--النموذج الجسيمي للموجات
</w:t>
            </w:r>
          </w:p>
        </w:tc>
        <w:tc>
          <w:tcPr>
            <w:tcW w:w="2562" w:type="dxa"/>
            <w:vAlign w:val="center"/>
          </w:tcPr>
          <w:p w14:paraId="213FA09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نظرية الكم--موجات المادة
</w:t>
            </w:r>
          </w:p>
        </w:tc>
        <w:tc>
          <w:tcPr>
            <w:tcW w:w="2591" w:type="dxa"/>
            <w:vAlign w:val="center"/>
          </w:tcPr>
          <w:p w14:paraId="2100E2E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نظرية الكم--موجات المادة
</w:t>
            </w:r>
          </w:p>
        </w:tc>
      </w:tr>
      <w:tr w14:paraId="45A5937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57782B3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5194" w:type="dxa"/>
            <w:gridSpan w:val="3"/>
            <w:vMerge w:val="continue"/>
            <w:vAlign w:val="center"/>
          </w:tcPr>
          <w:p w14:paraId="24FB37B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62" w:type="dxa"/>
            <w:gridSpan w:val="2"/>
            <w:vAlign w:val="center"/>
          </w:tcPr>
          <w:p w14:paraId="5495D59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الطيف المنبعث من جسم ساخن
تفسر التأثير الكهروضوئي وتأثير كومبتون</w:t>
            </w:r>
          </w:p>
        </w:tc>
        <w:tc>
          <w:tcPr>
            <w:tcW w:w="2562" w:type="dxa"/>
            <w:vAlign w:val="center"/>
          </w:tcPr>
          <w:p w14:paraId="1330588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الطبيعة المزدوجة للموجات والجسيمات ، وأهمية مبدأ عدم التحديد لهيزنبرغ
تطبق معادلة دي برولي في حل مسائل عددية</w:t>
            </w:r>
          </w:p>
        </w:tc>
        <w:tc>
          <w:tcPr>
            <w:tcW w:w="2591" w:type="dxa"/>
            <w:vAlign w:val="center"/>
          </w:tcPr>
          <w:p w14:paraId="40C0F5E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الطبيعة المزدوجة للموجات والجسيمات ، وأهمية مبدأ عدم التحديد لهيزنبرغ
تطبق معادلة دي برولي في حل مسائل عددية</w:t>
            </w:r>
          </w:p>
        </w:tc>
      </w:tr>
      <w:tr w14:paraId="321DD22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C1787E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5194" w:type="dxa"/>
            <w:gridSpan w:val="3"/>
            <w:vMerge w:val="continue"/>
            <w:vAlign w:val="center"/>
          </w:tcPr>
          <w:p w14:paraId="747C7AF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62" w:type="dxa"/>
            <w:gridSpan w:val="2"/>
            <w:vAlign w:val="center"/>
          </w:tcPr>
          <w:p w14:paraId="66877DD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الفوتونات تحقق قانوني حفظ الزخم، والطاقة عندما تصطدم بجسيمات أخرى مثل الإلكترونات  (     )</w:t>
            </w:r>
          </w:p>
        </w:tc>
        <w:tc>
          <w:tcPr>
            <w:tcW w:w="2562" w:type="dxa"/>
            <w:vAlign w:val="center"/>
          </w:tcPr>
          <w:p w14:paraId="76F2E4C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في التجربة التي أجراها العالم تومسون  أظهرت الالكترونات سلوكاً موجياً وهو (     ) الزخم   (     ) التداخل   (     ) الحيود   (     ) الحيود والتداخل</w:t>
            </w:r>
          </w:p>
        </w:tc>
        <w:tc>
          <w:tcPr>
            <w:tcW w:w="2591" w:type="dxa"/>
            <w:vAlign w:val="center"/>
          </w:tcPr>
          <w:p w14:paraId="5F3FEAC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في التجربة التي أجراها العالم تومسون  أظهرت الالكترونات سلوكاً موجياً وهو (     ) الزخم   (     ) التداخل   (     ) الحيود   (     ) الحيود والتداخل</w:t>
            </w:r>
          </w:p>
        </w:tc>
      </w:tr>
      <w:tr w14:paraId="139F5EF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3D139BB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3449F095">
            <w:pPr>
              <w:spacing w:after="0" w:line="240" w:lineRule="auto"/>
              <w:rPr>
                <w:rtl/>
              </w:rPr>
            </w:pPr>
          </w:p>
        </w:tc>
      </w:tr>
      <w:tr w14:paraId="14AC595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640A231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73F0CD2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77FBE41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1569BE0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500AA10"/>
    <w:p w14:paraId="1C748980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540A9B8F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67223663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268D59F2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التاسع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17C0548F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878BBE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5ACD7178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1686FFA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2F09E96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35FE9A6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3758ED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4FF5EE3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28C1074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1041115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2B42718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4070899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A4B4E4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483E1039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A5A3C20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25409259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70A3BD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03C9D619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357ACA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5937E69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6F1F92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0EF9DD8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46060D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</w:tr>
      <w:tr w14:paraId="5DB7E09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385B9CD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2D9C609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الذرة--نموذج بور الذري
</w:t>
            </w:r>
          </w:p>
        </w:tc>
        <w:tc>
          <w:tcPr>
            <w:tcW w:w="2562" w:type="dxa"/>
            <w:gridSpan w:val="2"/>
            <w:vAlign w:val="center"/>
          </w:tcPr>
          <w:p w14:paraId="63321FB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الذرة--نموذج بور الذري
</w:t>
            </w:r>
          </w:p>
        </w:tc>
        <w:tc>
          <w:tcPr>
            <w:tcW w:w="2562" w:type="dxa"/>
            <w:gridSpan w:val="2"/>
            <w:vAlign w:val="center"/>
          </w:tcPr>
          <w:p w14:paraId="14F7F61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الذرة--النموذج الكمي للذرة
</w:t>
            </w:r>
          </w:p>
        </w:tc>
        <w:tc>
          <w:tcPr>
            <w:tcW w:w="2562" w:type="dxa"/>
            <w:vAlign w:val="center"/>
          </w:tcPr>
          <w:p w14:paraId="07A9A4A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الذرة--النموذج الكمي للذرة
</w:t>
            </w:r>
          </w:p>
        </w:tc>
        <w:tc>
          <w:tcPr>
            <w:tcW w:w="2591" w:type="dxa"/>
            <w:vAlign w:val="center"/>
          </w:tcPr>
          <w:p w14:paraId="121F818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إلكترونيات الحالة الصلبة--التوصيل الكهربائي في المواد الصلبة
</w:t>
            </w:r>
          </w:p>
        </w:tc>
      </w:tr>
      <w:tr w14:paraId="78B4D6F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7230F46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5B1DCA1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تركيب نواة الذرة
تقارن بين طيف الانبعاث المستمر وطيف الانبعاث الخطي</w:t>
            </w:r>
          </w:p>
        </w:tc>
        <w:tc>
          <w:tcPr>
            <w:tcW w:w="2562" w:type="dxa"/>
            <w:gridSpan w:val="2"/>
            <w:vAlign w:val="center"/>
          </w:tcPr>
          <w:p w14:paraId="20DDF1A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تركيب نواة الذرة
تقارن بين طيف الانبعاث المستمر وطيف الانبعاث الخطي</w:t>
            </w:r>
          </w:p>
        </w:tc>
        <w:tc>
          <w:tcPr>
            <w:tcW w:w="2562" w:type="dxa"/>
            <w:gridSpan w:val="2"/>
            <w:vAlign w:val="center"/>
          </w:tcPr>
          <w:p w14:paraId="7D8D4B3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توضح كيف يعمل الليزر
تصف خصائص ضوء الليزر</w:t>
            </w:r>
          </w:p>
        </w:tc>
        <w:tc>
          <w:tcPr>
            <w:tcW w:w="2562" w:type="dxa"/>
            <w:vAlign w:val="center"/>
          </w:tcPr>
          <w:p w14:paraId="308B873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توضح كيف يعمل الليزر
تصف خصائص ضوء الليزر</w:t>
            </w:r>
          </w:p>
        </w:tc>
        <w:tc>
          <w:tcPr>
            <w:tcW w:w="2591" w:type="dxa"/>
            <w:vAlign w:val="center"/>
          </w:tcPr>
          <w:p w14:paraId="73CF747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تقارن بين أشباه الموصلات من النوع n وأشباه الموصلات من النوع p
تصف حركة الإلكترون في الموصلات وأشباه الموصلات الكهربائية</w:t>
            </w:r>
          </w:p>
        </w:tc>
      </w:tr>
      <w:tr w14:paraId="5414897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CA8CA9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027076C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أي نماذج الذرة الآتية تعتمد على تجربة صفيحة الذهب الرقيقة لراذرفورد؟  (     ) نموذج بور   (     ) النموذج النووي   (     ) نموذج فطيرة الخوخ   (     ) النموذج الكمي الميكانيكي</w:t>
            </w:r>
          </w:p>
        </w:tc>
        <w:tc>
          <w:tcPr>
            <w:tcW w:w="2562" w:type="dxa"/>
            <w:gridSpan w:val="2"/>
            <w:vAlign w:val="center"/>
          </w:tcPr>
          <w:p w14:paraId="2F8A1A3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أي نماذج الذرة الآتية تعتمد على تجربة صفيحة الذهب الرقيقة لراذرفورد؟  (     ) نموذج بور   (     ) النموذج النووي   (     ) نموذج فطيرة الخوخ   (     ) النموذج الكمي الميكانيكي</w:t>
            </w:r>
          </w:p>
        </w:tc>
        <w:tc>
          <w:tcPr>
            <w:tcW w:w="2562" w:type="dxa"/>
            <w:gridSpan w:val="2"/>
            <w:vAlign w:val="center"/>
          </w:tcPr>
          <w:p w14:paraId="601CB35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جهاز الهولوجرام يعد من تطبيقات .... (     ) تأثير كمبتون     (     ) التأثير الكهروضوئي   (     ) ضوء الليزر   (     ) التحليل الطيفي</w:t>
            </w:r>
          </w:p>
        </w:tc>
        <w:tc>
          <w:tcPr>
            <w:tcW w:w="2562" w:type="dxa"/>
            <w:vAlign w:val="center"/>
          </w:tcPr>
          <w:p w14:paraId="48189E5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جهاز الهولوجرام يعد من تطبيقات .... (     ) تأثير كمبتون     (     ) التأثير الكهروضوئي   (     ) ضوء الليزر   (     ) التحليل الطيفي</w:t>
            </w:r>
          </w:p>
        </w:tc>
        <w:tc>
          <w:tcPr>
            <w:tcW w:w="2591" w:type="dxa"/>
            <w:vAlign w:val="center"/>
          </w:tcPr>
          <w:p w14:paraId="737E6C7A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أشباه الموصلات التي توصل نتيجة تحرير الإلكترونات والفجوات حرارياً تسمى  (     ) موصلات نقية   (     ) أشباه موصلات نقية   (     ) اشباه موصلات معالجة   (     ) موصلات غير نقيه</w:t>
            </w:r>
          </w:p>
        </w:tc>
      </w:tr>
      <w:tr w14:paraId="4C81997D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32EA91E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6BEBB4BD">
            <w:pPr>
              <w:spacing w:after="0" w:line="240" w:lineRule="auto"/>
              <w:rPr>
                <w:rtl/>
              </w:rPr>
            </w:pPr>
          </w:p>
        </w:tc>
      </w:tr>
      <w:tr w14:paraId="04FCEFA7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22EA40B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0FC2042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2125105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25F00BA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AFE892"/>
    <w:p w14:paraId="520E77A3"/>
    <w:p w14:paraId="64AD8101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7204FAED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2C47F0F0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bookmarkStart w:id="0" w:name="_Hlk182867692"/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5EF303DF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العاشر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2BE8764D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100F3E3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33D2A071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3261EE7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0EEC9586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41B57C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6804172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FF84E0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3D5C10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6A5BE23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620257B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10DA57D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531016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FD5C030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35429D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94A70F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7A253E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8FD198C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3185F11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33658AE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6540D0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2D3C6BE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EBF6D8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</w:tr>
      <w:tr w14:paraId="0568ECB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2367E38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6390ED3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إلكترونيات الحالة الصلبة--التوصيل الكهربائي في المواد الصلبة
</w:t>
            </w:r>
          </w:p>
        </w:tc>
        <w:tc>
          <w:tcPr>
            <w:tcW w:w="2562" w:type="dxa"/>
            <w:gridSpan w:val="2"/>
            <w:vAlign w:val="center"/>
          </w:tcPr>
          <w:p w14:paraId="49E926C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إلكترونيات الحالة الصلبة--الأداوت الالكترونية
</w:t>
            </w:r>
          </w:p>
        </w:tc>
        <w:tc>
          <w:tcPr>
            <w:tcW w:w="2562" w:type="dxa"/>
            <w:gridSpan w:val="2"/>
            <w:vAlign w:val="center"/>
          </w:tcPr>
          <w:p w14:paraId="10818B4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إلكترونيات الحالة الصلبة--الأداوت الالكترونية
</w:t>
            </w:r>
          </w:p>
        </w:tc>
        <w:tc>
          <w:tcPr>
            <w:tcW w:w="2562" w:type="dxa"/>
            <w:vAlign w:val="center"/>
          </w:tcPr>
          <w:p w14:paraId="54C97E6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النووية--النواة
</w:t>
            </w:r>
          </w:p>
        </w:tc>
        <w:tc>
          <w:tcPr>
            <w:tcW w:w="2591" w:type="dxa"/>
            <w:vAlign w:val="center"/>
          </w:tcPr>
          <w:p w14:paraId="5103448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النووية--النواة
</w:t>
            </w:r>
          </w:p>
        </w:tc>
      </w:tr>
      <w:tr w14:paraId="6BCB474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254D59F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2380D80F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تقارن بين أشباه الموصلات من النوع n وأشباه الموصلات من النوع p
تصف حركة الإلكترون في الموصلات وأشباه الموصلات الكهربائية</w:t>
            </w:r>
          </w:p>
        </w:tc>
        <w:tc>
          <w:tcPr>
            <w:tcW w:w="2562" w:type="dxa"/>
            <w:gridSpan w:val="2"/>
            <w:vAlign w:val="center"/>
          </w:tcPr>
          <w:p w14:paraId="20ED78F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كيف يعمل الدايود على جعل التيار الكهربائي يسرى في اتجاه واحد فقط
توضح كيف يمكن للترانزستور العمل على زيادة أو تضخيم تغيرات الجهد</w:t>
            </w:r>
          </w:p>
        </w:tc>
        <w:tc>
          <w:tcPr>
            <w:tcW w:w="2562" w:type="dxa"/>
            <w:gridSpan w:val="2"/>
            <w:vAlign w:val="center"/>
          </w:tcPr>
          <w:p w14:paraId="51455F9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كيف يعمل الدايود على جعل التيار الكهربائي يسرى في اتجاه واحد فقط
توضح كيف يمكن للترانزستور العمل على زيادة أو تضخيم تغيرات الجهد</w:t>
            </w:r>
          </w:p>
        </w:tc>
        <w:tc>
          <w:tcPr>
            <w:tcW w:w="2562" w:type="dxa"/>
            <w:vAlign w:val="center"/>
          </w:tcPr>
          <w:p w14:paraId="6D70D38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تربط الطاقة الناتجة عن التفاعل النووي مع التغير في طاقة الربط النووية في أثناء التفاعل
تحدد عدد النيوترونات والبروتونات في النواة</w:t>
            </w:r>
          </w:p>
        </w:tc>
        <w:tc>
          <w:tcPr>
            <w:tcW w:w="2591" w:type="dxa"/>
            <w:vAlign w:val="center"/>
          </w:tcPr>
          <w:p w14:paraId="1C6F102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تربط الطاقة الناتجة عن التفاعل النووي مع التغير في طاقة الربط النووية في أثناء التفاعل
تحدد عدد النيوترونات والبروتونات في النواة</w:t>
            </w:r>
          </w:p>
        </w:tc>
      </w:tr>
      <w:tr w14:paraId="092C3F0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079BDC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0972D05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أشباه الموصلات التي توصل نتيجة تحرير الإلكترونات والفجوات حرارياً تسمى  (     ) موصلات نقية   (     ) أشباه موصلات نقية   (     ) اشباه موصلات معالجة   (     ) موصلات غير نقيه</w:t>
            </w:r>
          </w:p>
        </w:tc>
        <w:tc>
          <w:tcPr>
            <w:tcW w:w="2562" w:type="dxa"/>
            <w:gridSpan w:val="2"/>
            <w:vAlign w:val="center"/>
          </w:tcPr>
          <w:p w14:paraId="14AE767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يعمل الترانزستور على تقويم التيار الكهربائي المتردد   (     )</w:t>
            </w:r>
          </w:p>
        </w:tc>
        <w:tc>
          <w:tcPr>
            <w:tcW w:w="2562" w:type="dxa"/>
            <w:gridSpan w:val="2"/>
            <w:vAlign w:val="center"/>
          </w:tcPr>
          <w:p w14:paraId="040462B2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يعمل الترانزستور على تقويم التيار الكهربائي المتردد   (     )</w:t>
            </w:r>
          </w:p>
        </w:tc>
        <w:tc>
          <w:tcPr>
            <w:tcW w:w="2562" w:type="dxa"/>
            <w:vAlign w:val="center"/>
          </w:tcPr>
          <w:p w14:paraId="374AEC8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طاقة الربط النووي سالبة   (     )</w:t>
            </w:r>
          </w:p>
        </w:tc>
        <w:tc>
          <w:tcPr>
            <w:tcW w:w="2591" w:type="dxa"/>
            <w:vAlign w:val="center"/>
          </w:tcPr>
          <w:p w14:paraId="505FE04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طاقة الربط النووي سالبة   (     )</w:t>
            </w:r>
          </w:p>
        </w:tc>
      </w:tr>
      <w:tr w14:paraId="4D3C675C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017B396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6F55E4EE">
            <w:pPr>
              <w:spacing w:after="0" w:line="240" w:lineRule="auto"/>
              <w:rPr>
                <w:rtl/>
              </w:rPr>
            </w:pPr>
          </w:p>
        </w:tc>
      </w:tr>
      <w:tr w14:paraId="157462C7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2156253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00DD8A7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4E14C90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0E70B8F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</w:tbl>
    <w:p w14:paraId="279257A6">
      <w:pPr>
        <w:rPr>
          <w:lang w:bidi="ar-EG"/>
        </w:rPr>
      </w:pPr>
    </w:p>
    <w:p w14:paraId="2080A3EA">
      <w:pPr>
        <w:rPr>
          <w:lang w:bidi="ar-EG"/>
        </w:rPr>
      </w:pPr>
    </w:p>
    <w:p w14:paraId="2DB34E08">
      <w:pPr>
        <w:rPr>
          <w:lang w:bidi="ar-EG"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6CC6932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353E7F17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399E61B5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الحادي</w:t>
            </w:r>
            <w:r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 xml:space="preserve"> عشر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0C173A1E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721D50C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69B21314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6F92C61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5566F07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1907687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4C3FE42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4A2102E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F7994C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264EC62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3715ABA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16A9299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692329E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18F9B55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1208D06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28F38EF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56B7029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F1205B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7F05B6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6543603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2ED0BC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1154E07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F353117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</w:tr>
      <w:tr w14:paraId="35FE9AA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72ADE88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14BDD53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النووية--الاضمحلال النووي والتفاعلات النووية
</w:t>
            </w:r>
          </w:p>
        </w:tc>
        <w:tc>
          <w:tcPr>
            <w:tcW w:w="2562" w:type="dxa"/>
            <w:gridSpan w:val="2"/>
            <w:vAlign w:val="center"/>
          </w:tcPr>
          <w:p w14:paraId="51A865F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النووية--الاضمحلال النووي والتفاعلات النووية
</w:t>
            </w:r>
          </w:p>
        </w:tc>
        <w:tc>
          <w:tcPr>
            <w:tcW w:w="2562" w:type="dxa"/>
            <w:gridSpan w:val="2"/>
            <w:vAlign w:val="center"/>
          </w:tcPr>
          <w:p w14:paraId="445D3C5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النووية--وحدات بناء المادة
</w:t>
            </w:r>
          </w:p>
        </w:tc>
        <w:tc>
          <w:tcPr>
            <w:tcW w:w="2562" w:type="dxa"/>
            <w:vAlign w:val="center"/>
          </w:tcPr>
          <w:p w14:paraId="47E03CC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الفيزياء النووية--وحدات بناء المادة
</w:t>
            </w:r>
          </w:p>
        </w:tc>
        <w:tc>
          <w:tcPr>
            <w:tcW w:w="2591" w:type="dxa"/>
            <w:vAlign w:val="center"/>
          </w:tcPr>
          <w:p w14:paraId="00897FF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الحث الكهرومغناطيسي--التيار الكهربائي الناتج عن تغير المجالات المغناطيسية
</w:t>
            </w:r>
          </w:p>
        </w:tc>
      </w:tr>
      <w:tr w14:paraId="292BECED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0380629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6F5349A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المفاعل النووي
تحل معادلات نووية</w:t>
            </w:r>
          </w:p>
        </w:tc>
        <w:tc>
          <w:tcPr>
            <w:tcW w:w="2562" w:type="dxa"/>
            <w:gridSpan w:val="2"/>
            <w:vAlign w:val="center"/>
          </w:tcPr>
          <w:p w14:paraId="693E06E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المفاعل النووي
تحل معادلات نووية</w:t>
            </w:r>
          </w:p>
        </w:tc>
        <w:tc>
          <w:tcPr>
            <w:tcW w:w="2562" w:type="dxa"/>
            <w:gridSpan w:val="2"/>
            <w:vAlign w:val="center"/>
          </w:tcPr>
          <w:p w14:paraId="0B9BA76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مسارعات الجسيمات وكواشف الجسيمات
تصف النموذج المعياري للمادة وتفسر دور حاملات القوة</w:t>
            </w:r>
          </w:p>
        </w:tc>
        <w:tc>
          <w:tcPr>
            <w:tcW w:w="2562" w:type="dxa"/>
            <w:vAlign w:val="center"/>
          </w:tcPr>
          <w:p w14:paraId="6D72124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تصف عمل مسارعات الجسيمات وكواشف الجسيمات
تصف النموذج المعياري للمادة وتفسر دور حاملات القوة</w:t>
            </w:r>
          </w:p>
        </w:tc>
        <w:tc>
          <w:tcPr>
            <w:tcW w:w="2591" w:type="dxa"/>
            <w:vAlign w:val="center"/>
          </w:tcPr>
          <w:p w14:paraId="4C3505C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تعرف القوة الدافعة الكهربائية
تحل مسائل تتضمن حركة أسلاك في مجالات مغناطيسية</w:t>
            </w:r>
          </w:p>
        </w:tc>
      </w:tr>
      <w:tr w14:paraId="207AC07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152D121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7D1B0B6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أكمل الفراغات فيما يلي   أ.العمليات التي تحدث في الشمس مثال على عملية    ...............   النووي</w:t>
            </w:r>
          </w:p>
        </w:tc>
        <w:tc>
          <w:tcPr>
            <w:tcW w:w="2562" w:type="dxa"/>
            <w:gridSpan w:val="2"/>
            <w:vAlign w:val="center"/>
          </w:tcPr>
          <w:p w14:paraId="1192ABC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أكمل الفراغات فيما يلي   أ.العمليات التي تحدث في الشمس مثال على عملية    ...............   النووي</w:t>
            </w:r>
          </w:p>
        </w:tc>
        <w:tc>
          <w:tcPr>
            <w:tcW w:w="2562" w:type="dxa"/>
            <w:gridSpan w:val="2"/>
            <w:vAlign w:val="center"/>
          </w:tcPr>
          <w:p w14:paraId="42D557F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يتكون النموذج المعياري من الكواركات واللبتونات،  وحاملات القوة  (     )</w:t>
            </w:r>
          </w:p>
        </w:tc>
        <w:tc>
          <w:tcPr>
            <w:tcW w:w="2562" w:type="dxa"/>
            <w:vAlign w:val="center"/>
          </w:tcPr>
          <w:p w14:paraId="0D9DB5E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يتكون النموذج المعياري من الكواركات واللبتونات،  وحاملات القوة  (     )</w:t>
            </w:r>
          </w:p>
        </w:tc>
        <w:tc>
          <w:tcPr>
            <w:tcW w:w="2591" w:type="dxa"/>
            <w:vAlign w:val="center"/>
          </w:tcPr>
          <w:p w14:paraId="7657C70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الحركة النسبية بين السلك، والمجال المغناطيسي تولد تيارا كهربائيا  (     )</w:t>
            </w:r>
          </w:p>
        </w:tc>
      </w:tr>
      <w:tr w14:paraId="18B3A0F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2036712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63A05397">
            <w:pPr>
              <w:spacing w:after="0" w:line="240" w:lineRule="auto"/>
              <w:rPr>
                <w:rtl/>
              </w:rPr>
            </w:pPr>
          </w:p>
        </w:tc>
      </w:tr>
      <w:tr w14:paraId="6B64C1B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3E323CA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284CC8B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24BD520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0E01855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F29A144">
      <w:pPr>
        <w:rPr>
          <w:lang w:bidi="ar-EG"/>
        </w:rPr>
      </w:pPr>
    </w:p>
    <w:p w14:paraId="74798350">
      <w:pPr>
        <w:rPr>
          <w:lang w:bidi="ar-EG"/>
        </w:rPr>
      </w:pPr>
    </w:p>
    <w:p w14:paraId="3F84A4ED">
      <w:pPr>
        <w:rPr>
          <w:rtl/>
          <w:lang w:bidi="ar-EG"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187F89A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1B46D090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06BBE9B3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الثاني عشر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72013325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3313F85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3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202B2302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31EAD1C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17</w:t>
            </w:r>
          </w:p>
        </w:tc>
      </w:tr>
      <w:tr w14:paraId="29C35DB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6FD09FE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3192A79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234743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15B67C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7AAA0D0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68C35C9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45FBAD9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6EF78B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6BF7F87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/1446هـ</w:t>
            </w:r>
          </w:p>
          <w:p w14:paraId="23051A6C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0"/>
                <w:szCs w:val="20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5D3657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/1446هـ</w:t>
            </w:r>
          </w:p>
          <w:p w14:paraId="69E97ED1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0"/>
                <w:szCs w:val="20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3DB3154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21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/1446هـ</w:t>
            </w:r>
          </w:p>
          <w:p w14:paraId="1A44409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0"/>
                <w:szCs w:val="20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476E23F0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22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/1446هـ</w:t>
            </w:r>
          </w:p>
          <w:p w14:paraId="6765948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0"/>
                <w:szCs w:val="20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18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3F00509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23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/1446هـ</w:t>
            </w:r>
          </w:p>
          <w:p w14:paraId="0A21991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0"/>
                <w:szCs w:val="20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م</w:t>
            </w:r>
          </w:p>
        </w:tc>
      </w:tr>
      <w:tr w14:paraId="7D0DCAB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633FAC0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12909" w:type="dxa"/>
            <w:gridSpan w:val="7"/>
            <w:vMerge w:val="restart"/>
            <w:vAlign w:val="center"/>
          </w:tcPr>
          <w:p w14:paraId="44654B7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ED7D31" w:themeColor="accent2"/>
                <w:sz w:val="64"/>
                <w:szCs w:val="64"/>
                <w:rtl/>
                <w14:textFill>
                  <w14:solidFill>
                    <w14:schemeClr w14:val="accent2"/>
                  </w14:solidFill>
                </w14:textFill>
              </w:rPr>
              <w:t>اختبارات</w:t>
            </w:r>
          </w:p>
        </w:tc>
      </w:tr>
      <w:tr w14:paraId="494CE4B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15275D5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12909" w:type="dxa"/>
            <w:gridSpan w:val="7"/>
            <w:vMerge w:val="continue"/>
            <w:vAlign w:val="center"/>
          </w:tcPr>
          <w:p w14:paraId="6267F5C8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1FB5744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1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5EFA31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12909" w:type="dxa"/>
            <w:gridSpan w:val="7"/>
            <w:vMerge w:val="continue"/>
            <w:vAlign w:val="center"/>
          </w:tcPr>
          <w:p w14:paraId="4657571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</w:p>
        </w:tc>
      </w:tr>
      <w:tr w14:paraId="71DCBD6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0F3AE75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61C8DD40">
            <w:pPr>
              <w:spacing w:after="0" w:line="240" w:lineRule="auto"/>
              <w:rPr>
                <w:rtl/>
              </w:rPr>
            </w:pPr>
          </w:p>
        </w:tc>
      </w:tr>
      <w:tr w14:paraId="070F692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3C5A505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06F75EB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5AF954A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34E66DC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/>
            <w:bookmarkEnd w:id="1"/>
          </w:p>
        </w:tc>
      </w:tr>
    </w:tbl>
    <w:p w14:paraId="5EA5C6E5">
      <w:pPr>
        <w:rPr>
          <w:lang w:bidi="ar-EG"/>
        </w:rPr>
      </w:pPr>
    </w:p>
    <w:p w14:paraId="7D9369E3">
      <w:pPr>
        <w:rPr>
          <w:rtl/>
        </w:rPr>
      </w:pPr>
    </w:p>
    <w:sectPr>
      <w:headerReference r:id="rId5" w:type="default"/>
      <w:pgSz w:w="16838" w:h="11906" w:orient="landscape"/>
      <w:pgMar w:top="851" w:right="720" w:bottom="720" w:left="720" w:header="0" w:footer="0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PT Bold Heading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Helvetica Neue W23 for SKY Bd">
    <w:altName w:val="Arial"/>
    <w:panose1 w:val="020B0804020202020204"/>
    <w:charset w:val="00"/>
    <w:family w:val="swiss"/>
    <w:pitch w:val="default"/>
    <w:sig w:usb0="00000000" w:usb1="00000000" w:usb2="00000000" w:usb3="00000000" w:csb0="0000004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2167A">
    <w:pPr>
      <w:pStyle w:val="5"/>
      <w:rPr>
        <w:b/>
        <w:bCs/>
        <w:sz w:val="20"/>
        <w:szCs w:val="20"/>
      </w:rPr>
    </w:pPr>
  </w:p>
  <w:p w14:paraId="4F4566CE">
    <w:pPr>
      <w:pStyle w:val="5"/>
      <w:rPr>
        <w:b/>
        <w:bCs/>
        <w:sz w:val="20"/>
        <w:szCs w:val="20"/>
        <w:rtl/>
      </w:rPr>
    </w:pPr>
  </w:p>
  <w:p w14:paraId="6FA2DF8A">
    <w:pPr>
      <w:pStyle w:val="5"/>
      <w:rPr>
        <w:b/>
        <w:bCs/>
        <w:sz w:val="20"/>
        <w:szCs w:val="20"/>
        <w:rtl/>
      </w:rPr>
    </w:pPr>
  </w:p>
  <w:p w14:paraId="757F9030">
    <w:pPr>
      <w:pStyle w:val="5"/>
      <w:rPr>
        <w:b/>
        <w:bCs/>
        <w:sz w:val="20"/>
        <w:szCs w:val="20"/>
        <w:rtl/>
      </w:rPr>
    </w:pPr>
  </w:p>
  <w:p w14:paraId="4E75A0A1">
    <w:pPr>
      <w:pStyle w:val="5"/>
      <w:rPr>
        <w:b/>
        <w:bCs/>
        <w:sz w:val="20"/>
        <w:szCs w:val="20"/>
        <w:rtl/>
      </w:rPr>
    </w:pPr>
  </w:p>
  <w:p w14:paraId="6509C8D1">
    <w:pPr>
      <w:pStyle w:val="5"/>
      <w:rPr>
        <w:b/>
        <w:bCs/>
        <w:sz w:val="20"/>
        <w:szCs w:val="20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6F"/>
    <w:rsid w:val="00002BBA"/>
    <w:rsid w:val="00006E5A"/>
    <w:rsid w:val="00011C24"/>
    <w:rsid w:val="0001452C"/>
    <w:rsid w:val="000161B9"/>
    <w:rsid w:val="00030D0B"/>
    <w:rsid w:val="00033264"/>
    <w:rsid w:val="00033B62"/>
    <w:rsid w:val="0003464A"/>
    <w:rsid w:val="00051E4A"/>
    <w:rsid w:val="000750AA"/>
    <w:rsid w:val="00082505"/>
    <w:rsid w:val="00082E3A"/>
    <w:rsid w:val="00082EF9"/>
    <w:rsid w:val="00094373"/>
    <w:rsid w:val="000A0046"/>
    <w:rsid w:val="000A7C7A"/>
    <w:rsid w:val="000B08DC"/>
    <w:rsid w:val="000B3622"/>
    <w:rsid w:val="000B41AB"/>
    <w:rsid w:val="000C1E23"/>
    <w:rsid w:val="000D5E7D"/>
    <w:rsid w:val="000F2303"/>
    <w:rsid w:val="00103D8D"/>
    <w:rsid w:val="001120B9"/>
    <w:rsid w:val="00136845"/>
    <w:rsid w:val="00136BE2"/>
    <w:rsid w:val="00146E6F"/>
    <w:rsid w:val="001620AC"/>
    <w:rsid w:val="00166F7D"/>
    <w:rsid w:val="001708AA"/>
    <w:rsid w:val="00174281"/>
    <w:rsid w:val="00185D12"/>
    <w:rsid w:val="001B153F"/>
    <w:rsid w:val="001B3526"/>
    <w:rsid w:val="001C127D"/>
    <w:rsid w:val="001F7119"/>
    <w:rsid w:val="00203A9D"/>
    <w:rsid w:val="00205166"/>
    <w:rsid w:val="0021025E"/>
    <w:rsid w:val="00210CB9"/>
    <w:rsid w:val="00212442"/>
    <w:rsid w:val="00221825"/>
    <w:rsid w:val="00233055"/>
    <w:rsid w:val="00235872"/>
    <w:rsid w:val="00241656"/>
    <w:rsid w:val="00256589"/>
    <w:rsid w:val="00260981"/>
    <w:rsid w:val="00261B1A"/>
    <w:rsid w:val="00262D6F"/>
    <w:rsid w:val="00262E67"/>
    <w:rsid w:val="00271C61"/>
    <w:rsid w:val="002730F5"/>
    <w:rsid w:val="002731EB"/>
    <w:rsid w:val="00285BBA"/>
    <w:rsid w:val="002861C7"/>
    <w:rsid w:val="00291EBB"/>
    <w:rsid w:val="00296BEA"/>
    <w:rsid w:val="00296F3B"/>
    <w:rsid w:val="00297640"/>
    <w:rsid w:val="002A16A3"/>
    <w:rsid w:val="002A6180"/>
    <w:rsid w:val="002B1A24"/>
    <w:rsid w:val="002C33F2"/>
    <w:rsid w:val="002C5A40"/>
    <w:rsid w:val="002C66B9"/>
    <w:rsid w:val="002D2CF5"/>
    <w:rsid w:val="002D4A29"/>
    <w:rsid w:val="002E6C1A"/>
    <w:rsid w:val="002F2427"/>
    <w:rsid w:val="002F7D72"/>
    <w:rsid w:val="0030711E"/>
    <w:rsid w:val="00307E43"/>
    <w:rsid w:val="0031035C"/>
    <w:rsid w:val="0031147C"/>
    <w:rsid w:val="00320475"/>
    <w:rsid w:val="00326CD3"/>
    <w:rsid w:val="003314FC"/>
    <w:rsid w:val="00332D37"/>
    <w:rsid w:val="003334BE"/>
    <w:rsid w:val="003337B5"/>
    <w:rsid w:val="003358C7"/>
    <w:rsid w:val="00336D92"/>
    <w:rsid w:val="003447A1"/>
    <w:rsid w:val="00347E41"/>
    <w:rsid w:val="00353E96"/>
    <w:rsid w:val="003546F0"/>
    <w:rsid w:val="00371E9A"/>
    <w:rsid w:val="0037427F"/>
    <w:rsid w:val="003757B9"/>
    <w:rsid w:val="00385191"/>
    <w:rsid w:val="00390FDA"/>
    <w:rsid w:val="00391D4A"/>
    <w:rsid w:val="003923D3"/>
    <w:rsid w:val="00393E1B"/>
    <w:rsid w:val="003B2634"/>
    <w:rsid w:val="003B66CD"/>
    <w:rsid w:val="003C45B1"/>
    <w:rsid w:val="003E4B63"/>
    <w:rsid w:val="003E7FCD"/>
    <w:rsid w:val="003F217A"/>
    <w:rsid w:val="003F2DEF"/>
    <w:rsid w:val="00400B98"/>
    <w:rsid w:val="00402235"/>
    <w:rsid w:val="0040416F"/>
    <w:rsid w:val="00406E19"/>
    <w:rsid w:val="00414ABF"/>
    <w:rsid w:val="00420388"/>
    <w:rsid w:val="00423638"/>
    <w:rsid w:val="0042404F"/>
    <w:rsid w:val="0043051D"/>
    <w:rsid w:val="004374D0"/>
    <w:rsid w:val="0044183D"/>
    <w:rsid w:val="00452252"/>
    <w:rsid w:val="0045233B"/>
    <w:rsid w:val="0047013C"/>
    <w:rsid w:val="00476896"/>
    <w:rsid w:val="00480393"/>
    <w:rsid w:val="004924A0"/>
    <w:rsid w:val="0049446A"/>
    <w:rsid w:val="004A3560"/>
    <w:rsid w:val="004B4412"/>
    <w:rsid w:val="004B6FEC"/>
    <w:rsid w:val="004D3278"/>
    <w:rsid w:val="004D53FF"/>
    <w:rsid w:val="004E6F37"/>
    <w:rsid w:val="004F664C"/>
    <w:rsid w:val="0050227C"/>
    <w:rsid w:val="00505861"/>
    <w:rsid w:val="00516594"/>
    <w:rsid w:val="005205C4"/>
    <w:rsid w:val="0052681B"/>
    <w:rsid w:val="005304D6"/>
    <w:rsid w:val="00530517"/>
    <w:rsid w:val="00533E4E"/>
    <w:rsid w:val="00536710"/>
    <w:rsid w:val="005469C4"/>
    <w:rsid w:val="00555751"/>
    <w:rsid w:val="00566C3A"/>
    <w:rsid w:val="00570F7C"/>
    <w:rsid w:val="0057253E"/>
    <w:rsid w:val="00580B47"/>
    <w:rsid w:val="00590FF0"/>
    <w:rsid w:val="005925AA"/>
    <w:rsid w:val="005965DB"/>
    <w:rsid w:val="005A4B17"/>
    <w:rsid w:val="005B3945"/>
    <w:rsid w:val="005B7137"/>
    <w:rsid w:val="005C355F"/>
    <w:rsid w:val="005E102D"/>
    <w:rsid w:val="005F25DE"/>
    <w:rsid w:val="006332DA"/>
    <w:rsid w:val="00643476"/>
    <w:rsid w:val="006453C8"/>
    <w:rsid w:val="006507E3"/>
    <w:rsid w:val="0065533F"/>
    <w:rsid w:val="0065741A"/>
    <w:rsid w:val="006626F7"/>
    <w:rsid w:val="00665CA5"/>
    <w:rsid w:val="0067105E"/>
    <w:rsid w:val="00686918"/>
    <w:rsid w:val="006936B3"/>
    <w:rsid w:val="006B1850"/>
    <w:rsid w:val="006C1376"/>
    <w:rsid w:val="006C6AA9"/>
    <w:rsid w:val="006D15A6"/>
    <w:rsid w:val="006D2A03"/>
    <w:rsid w:val="006D3747"/>
    <w:rsid w:val="006D657D"/>
    <w:rsid w:val="006F4B40"/>
    <w:rsid w:val="006F57E1"/>
    <w:rsid w:val="007002BB"/>
    <w:rsid w:val="007018A8"/>
    <w:rsid w:val="00706DC8"/>
    <w:rsid w:val="00713634"/>
    <w:rsid w:val="00715C46"/>
    <w:rsid w:val="00720BDF"/>
    <w:rsid w:val="007239B9"/>
    <w:rsid w:val="00726C23"/>
    <w:rsid w:val="007350B9"/>
    <w:rsid w:val="007361DD"/>
    <w:rsid w:val="0074053D"/>
    <w:rsid w:val="00746DCD"/>
    <w:rsid w:val="00767364"/>
    <w:rsid w:val="00771184"/>
    <w:rsid w:val="0077660B"/>
    <w:rsid w:val="007876B8"/>
    <w:rsid w:val="007A27F1"/>
    <w:rsid w:val="007D0ED7"/>
    <w:rsid w:val="007D1510"/>
    <w:rsid w:val="007D1740"/>
    <w:rsid w:val="007D17E7"/>
    <w:rsid w:val="007D676F"/>
    <w:rsid w:val="007D738A"/>
    <w:rsid w:val="007F4829"/>
    <w:rsid w:val="008138E3"/>
    <w:rsid w:val="008407DD"/>
    <w:rsid w:val="00843F81"/>
    <w:rsid w:val="00846225"/>
    <w:rsid w:val="00847FDB"/>
    <w:rsid w:val="00853A75"/>
    <w:rsid w:val="00866757"/>
    <w:rsid w:val="00875256"/>
    <w:rsid w:val="00876317"/>
    <w:rsid w:val="00883A1A"/>
    <w:rsid w:val="0088634E"/>
    <w:rsid w:val="00886E28"/>
    <w:rsid w:val="008A301A"/>
    <w:rsid w:val="008A4CC6"/>
    <w:rsid w:val="008B1A79"/>
    <w:rsid w:val="008C486F"/>
    <w:rsid w:val="008C5EF7"/>
    <w:rsid w:val="008D09CD"/>
    <w:rsid w:val="008D45FB"/>
    <w:rsid w:val="008D6630"/>
    <w:rsid w:val="008E37A7"/>
    <w:rsid w:val="008E4672"/>
    <w:rsid w:val="008E5407"/>
    <w:rsid w:val="008E68C2"/>
    <w:rsid w:val="008F5705"/>
    <w:rsid w:val="0091243D"/>
    <w:rsid w:val="0092420A"/>
    <w:rsid w:val="0092706B"/>
    <w:rsid w:val="00927623"/>
    <w:rsid w:val="00932EC7"/>
    <w:rsid w:val="0093419F"/>
    <w:rsid w:val="00941E0B"/>
    <w:rsid w:val="00944089"/>
    <w:rsid w:val="00950557"/>
    <w:rsid w:val="0095446F"/>
    <w:rsid w:val="00954885"/>
    <w:rsid w:val="009634A2"/>
    <w:rsid w:val="00965E95"/>
    <w:rsid w:val="00967B90"/>
    <w:rsid w:val="009742C3"/>
    <w:rsid w:val="009816E7"/>
    <w:rsid w:val="00983BFA"/>
    <w:rsid w:val="0098521C"/>
    <w:rsid w:val="00987D53"/>
    <w:rsid w:val="00995BCA"/>
    <w:rsid w:val="009A60C0"/>
    <w:rsid w:val="009B6CD0"/>
    <w:rsid w:val="009E10EB"/>
    <w:rsid w:val="009E2536"/>
    <w:rsid w:val="009E7A0C"/>
    <w:rsid w:val="009E7F10"/>
    <w:rsid w:val="009F1726"/>
    <w:rsid w:val="009F3659"/>
    <w:rsid w:val="00A07962"/>
    <w:rsid w:val="00A30502"/>
    <w:rsid w:val="00A353BA"/>
    <w:rsid w:val="00A43AE0"/>
    <w:rsid w:val="00A5021F"/>
    <w:rsid w:val="00A52DA7"/>
    <w:rsid w:val="00A6141A"/>
    <w:rsid w:val="00A64711"/>
    <w:rsid w:val="00A73429"/>
    <w:rsid w:val="00A91594"/>
    <w:rsid w:val="00AA20B9"/>
    <w:rsid w:val="00AA6281"/>
    <w:rsid w:val="00AB5B93"/>
    <w:rsid w:val="00AC1FDE"/>
    <w:rsid w:val="00AC5AFD"/>
    <w:rsid w:val="00AD23AD"/>
    <w:rsid w:val="00AE22A9"/>
    <w:rsid w:val="00AE3644"/>
    <w:rsid w:val="00AE5797"/>
    <w:rsid w:val="00AF30A6"/>
    <w:rsid w:val="00B00E40"/>
    <w:rsid w:val="00B061B9"/>
    <w:rsid w:val="00B06B0C"/>
    <w:rsid w:val="00B14A45"/>
    <w:rsid w:val="00B23CCE"/>
    <w:rsid w:val="00B33426"/>
    <w:rsid w:val="00B40135"/>
    <w:rsid w:val="00B423E8"/>
    <w:rsid w:val="00B44D94"/>
    <w:rsid w:val="00B67ECE"/>
    <w:rsid w:val="00B714C7"/>
    <w:rsid w:val="00B7294F"/>
    <w:rsid w:val="00B729EF"/>
    <w:rsid w:val="00B752A0"/>
    <w:rsid w:val="00B77B9E"/>
    <w:rsid w:val="00B806FE"/>
    <w:rsid w:val="00B80A9F"/>
    <w:rsid w:val="00B92F92"/>
    <w:rsid w:val="00B93FA5"/>
    <w:rsid w:val="00B96924"/>
    <w:rsid w:val="00BA30D8"/>
    <w:rsid w:val="00BA31FF"/>
    <w:rsid w:val="00BD3466"/>
    <w:rsid w:val="00BD47A1"/>
    <w:rsid w:val="00BE151B"/>
    <w:rsid w:val="00BE7AD0"/>
    <w:rsid w:val="00BF065D"/>
    <w:rsid w:val="00BF1B10"/>
    <w:rsid w:val="00C21C4E"/>
    <w:rsid w:val="00C24964"/>
    <w:rsid w:val="00C333EE"/>
    <w:rsid w:val="00C368D6"/>
    <w:rsid w:val="00C459CA"/>
    <w:rsid w:val="00C50DE9"/>
    <w:rsid w:val="00C524BF"/>
    <w:rsid w:val="00C5300A"/>
    <w:rsid w:val="00C55A05"/>
    <w:rsid w:val="00C56A9B"/>
    <w:rsid w:val="00C66CD7"/>
    <w:rsid w:val="00C75852"/>
    <w:rsid w:val="00C76CB1"/>
    <w:rsid w:val="00C9120F"/>
    <w:rsid w:val="00C9354B"/>
    <w:rsid w:val="00C955FC"/>
    <w:rsid w:val="00CA2D30"/>
    <w:rsid w:val="00CA7108"/>
    <w:rsid w:val="00CB015C"/>
    <w:rsid w:val="00CC7695"/>
    <w:rsid w:val="00CE507B"/>
    <w:rsid w:val="00CF2656"/>
    <w:rsid w:val="00CF3CDF"/>
    <w:rsid w:val="00D0001A"/>
    <w:rsid w:val="00D00D40"/>
    <w:rsid w:val="00D03D90"/>
    <w:rsid w:val="00D10218"/>
    <w:rsid w:val="00D126C5"/>
    <w:rsid w:val="00D1427F"/>
    <w:rsid w:val="00D149E8"/>
    <w:rsid w:val="00D15C7B"/>
    <w:rsid w:val="00D244C1"/>
    <w:rsid w:val="00D34ED9"/>
    <w:rsid w:val="00D44295"/>
    <w:rsid w:val="00D52250"/>
    <w:rsid w:val="00D54240"/>
    <w:rsid w:val="00D60578"/>
    <w:rsid w:val="00D66DDD"/>
    <w:rsid w:val="00D77D35"/>
    <w:rsid w:val="00DA449F"/>
    <w:rsid w:val="00DB4F04"/>
    <w:rsid w:val="00DD30CB"/>
    <w:rsid w:val="00DD3C4F"/>
    <w:rsid w:val="00DE7515"/>
    <w:rsid w:val="00DF6B7D"/>
    <w:rsid w:val="00E117FC"/>
    <w:rsid w:val="00E13375"/>
    <w:rsid w:val="00E1481D"/>
    <w:rsid w:val="00E31CB9"/>
    <w:rsid w:val="00E4361E"/>
    <w:rsid w:val="00E44D71"/>
    <w:rsid w:val="00E45C2E"/>
    <w:rsid w:val="00E5276F"/>
    <w:rsid w:val="00E75463"/>
    <w:rsid w:val="00E8438A"/>
    <w:rsid w:val="00EB582E"/>
    <w:rsid w:val="00EC3566"/>
    <w:rsid w:val="00EC4E3E"/>
    <w:rsid w:val="00EC67EE"/>
    <w:rsid w:val="00ED5C04"/>
    <w:rsid w:val="00ED6225"/>
    <w:rsid w:val="00EE7262"/>
    <w:rsid w:val="00EF2A7C"/>
    <w:rsid w:val="00F11C53"/>
    <w:rsid w:val="00F17029"/>
    <w:rsid w:val="00F2307A"/>
    <w:rsid w:val="00F318A6"/>
    <w:rsid w:val="00F31A89"/>
    <w:rsid w:val="00F32869"/>
    <w:rsid w:val="00F33E9E"/>
    <w:rsid w:val="00F44FAF"/>
    <w:rsid w:val="00F47086"/>
    <w:rsid w:val="00F51652"/>
    <w:rsid w:val="00F60135"/>
    <w:rsid w:val="00F6288B"/>
    <w:rsid w:val="00F63A18"/>
    <w:rsid w:val="00F63FBF"/>
    <w:rsid w:val="00F704D6"/>
    <w:rsid w:val="00F70724"/>
    <w:rsid w:val="00F70E46"/>
    <w:rsid w:val="00F7116C"/>
    <w:rsid w:val="00F904AD"/>
    <w:rsid w:val="00F924BD"/>
    <w:rsid w:val="00F946C6"/>
    <w:rsid w:val="00FB6FE2"/>
    <w:rsid w:val="00FC24A4"/>
    <w:rsid w:val="00FC7999"/>
    <w:rsid w:val="00FD4152"/>
    <w:rsid w:val="00FE287B"/>
    <w:rsid w:val="00FE5D1F"/>
    <w:rsid w:val="00FF0A09"/>
    <w:rsid w:val="00FF4A2B"/>
    <w:rsid w:val="00FF735F"/>
    <w:rsid w:val="7B80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رأس الصفحة Char"/>
    <w:basedOn w:val="2"/>
    <w:link w:val="5"/>
    <w:uiPriority w:val="99"/>
  </w:style>
  <w:style w:type="character" w:customStyle="1" w:styleId="8">
    <w:name w:val="تذييل الصفحة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ADDB81-74E7-45C3-8C09-BC8757DBBF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3122</Words>
  <Characters>16905</Characters>
  <Lines>39</Lines>
  <Paragraphs>11</Paragraphs>
  <TotalTime>495</TotalTime>
  <ScaleCrop>false</ScaleCrop>
  <LinksUpToDate>false</LinksUpToDate>
  <CharactersWithSpaces>20933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2024-09-27T04:48:00Z</dcterms:created>
  <dc:creator>WIN11</dc:creator>
  <cp:lastModifiedBy>طفلة T</cp:lastModifiedBy>
  <cp:lastPrinted>2024-08-20T22:05:00Z</cp:lastPrinted>
  <dcterms:modified xsi:type="dcterms:W3CDTF">2025-03-01T18:23:28Z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8F31EFB55225459C966697E5224E084A_13</vt:lpwstr>
  </property>
</Properties>
</file>