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77777777"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الأول</w:t>
                            </w:r>
                            <w:r w:rsidRPr="00FC2B40">
                              <w:rPr>
                                <w:rFonts w:ascii="Univers Next Arabic" w:eastAsia="Times New Roman" w:hAnsi="Univers Next Arabic" w:cs="Univers Next Arabic"/>
                                <w:b/>
                                <w:bCs/>
                                <w:noProof/>
                                <w:sz w:val="42"/>
                                <w:szCs w:val="42"/>
                                <w:rtl/>
                                <w:lang w:val="en-US" w:bidi="ar-AE"/>
                              </w:rPr>
                              <w:t xml:space="preserve"> : </w:t>
                            </w:r>
                            <w:r w:rsidRPr="00FC2B40">
                              <w:rPr>
                                <w:rFonts w:ascii="Univers Next Arabic" w:eastAsia="Times New Roman" w:hAnsi="Univers Next Arabic" w:cs="Univers Next Arabic" w:hint="cs"/>
                                <w:b/>
                                <w:bCs/>
                                <w:noProof/>
                                <w:sz w:val="42"/>
                                <w:szCs w:val="42"/>
                                <w:rtl/>
                                <w:lang w:val="en-US" w:bidi="ar-AE"/>
                              </w:rPr>
                              <w:t>معًا</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من</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أجل</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صحة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نفسية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أفضل</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77777777"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الأول</w:t>
                      </w:r>
                      <w:r w:rsidRPr="00FC2B40">
                        <w:rPr>
                          <w:rFonts w:ascii="Univers Next Arabic" w:eastAsia="Times New Roman" w:hAnsi="Univers Next Arabic" w:cs="Univers Next Arabic"/>
                          <w:b/>
                          <w:bCs/>
                          <w:noProof/>
                          <w:sz w:val="42"/>
                          <w:szCs w:val="42"/>
                          <w:rtl/>
                          <w:lang w:val="en-US" w:bidi="ar-AE"/>
                        </w:rPr>
                        <w:t xml:space="preserve"> : </w:t>
                      </w:r>
                      <w:r w:rsidRPr="00FC2B40">
                        <w:rPr>
                          <w:rFonts w:ascii="Univers Next Arabic" w:eastAsia="Times New Roman" w:hAnsi="Univers Next Arabic" w:cs="Univers Next Arabic" w:hint="cs"/>
                          <w:b/>
                          <w:bCs/>
                          <w:noProof/>
                          <w:sz w:val="42"/>
                          <w:szCs w:val="42"/>
                          <w:rtl/>
                          <w:lang w:val="en-US" w:bidi="ar-AE"/>
                        </w:rPr>
                        <w:t>معًا</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من</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أجل</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صحة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نفسية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أفضل</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63E81A14" w:rsidR="00E542A5" w:rsidRPr="003B0BF5" w:rsidRDefault="00E542A5" w:rsidP="00E542A5">
            <w:pPr>
              <w:bidi/>
              <w:jc w:val="center"/>
              <w:rPr>
                <w:rFonts w:ascii="Univers Next Arabic" w:hAnsi="Univers Next Arabic" w:cs="Univers Next Arabic"/>
                <w:b w:val="0"/>
                <w:bCs w:val="0"/>
                <w:rtl/>
              </w:rPr>
            </w:pPr>
            <w:r w:rsidRPr="004267B2">
              <w:rPr>
                <w:rFonts w:ascii="Univers Next Arabic" w:hAnsi="Univers Next Arabic" w:cs="Univers Next Arabic" w:hint="cs"/>
                <w:b w:val="0"/>
                <w:bCs w:val="0"/>
                <w:rtl/>
              </w:rPr>
              <w:t>الصحة</w:t>
            </w:r>
            <w:r w:rsidRPr="004267B2">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542A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7D855052" w:rsidR="00E542A5" w:rsidRPr="003B0BF5" w:rsidRDefault="00E542A5" w:rsidP="00E542A5">
            <w:pPr>
              <w:bidi/>
              <w:jc w:val="center"/>
              <w:rPr>
                <w:rFonts w:ascii="Univers Next Arabic" w:hAnsi="Univers Next Arabic" w:cs="Univers Next Arabic"/>
                <w:b w:val="0"/>
                <w:bCs w:val="0"/>
                <w:lang w:val="en-US"/>
              </w:rPr>
            </w:pPr>
            <w:r w:rsidRPr="004267B2">
              <w:rPr>
                <w:rFonts w:ascii="Univers Next Arabic" w:hAnsi="Univers Next Arabic" w:cs="Univers Next Arabic" w:hint="cs"/>
                <w:b w:val="0"/>
                <w:bCs w:val="0"/>
                <w:rtl/>
                <w:lang w:val="en-US"/>
              </w:rPr>
              <w:t>الصحة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العقلية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والرفاه</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النفسي</w:t>
            </w:r>
          </w:p>
        </w:tc>
        <w:tc>
          <w:tcPr>
            <w:tcW w:w="2546" w:type="dxa"/>
            <w:shd w:val="clear" w:color="auto" w:fill="455860"/>
            <w:vAlign w:val="center"/>
          </w:tcPr>
          <w:p w14:paraId="0A209095"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542A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D533E43" w:rsidR="00E542A5" w:rsidRPr="003B0BF5" w:rsidRDefault="00E542A5" w:rsidP="00E542A5">
            <w:pPr>
              <w:bidi/>
              <w:jc w:val="center"/>
              <w:rPr>
                <w:rFonts w:ascii="Univers Next Arabic" w:hAnsi="Univers Next Arabic" w:cs="Univers Next Arabic"/>
                <w:b w:val="0"/>
                <w:bCs w:val="0"/>
              </w:rPr>
            </w:pPr>
            <w:r w:rsidRPr="004267B2">
              <w:rPr>
                <w:rFonts w:ascii="Univers Next Arabic" w:hAnsi="Univers Next Arabic" w:cs="Univers Next Arabic" w:hint="cs"/>
                <w:b w:val="0"/>
                <w:bCs w:val="0"/>
                <w:rtl/>
              </w:rPr>
              <w:t>معًا</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من</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أجل</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صحة</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نفسية</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أفضل</w:t>
            </w:r>
          </w:p>
        </w:tc>
        <w:tc>
          <w:tcPr>
            <w:tcW w:w="2546" w:type="dxa"/>
            <w:shd w:val="clear" w:color="auto" w:fill="455860"/>
            <w:vAlign w:val="center"/>
          </w:tcPr>
          <w:p w14:paraId="0189A3F5"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B0BF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174DE4C" w14:textId="7CB63352"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السيناريو</w:t>
            </w:r>
            <w:r w:rsidRPr="00396E93">
              <w:rPr>
                <w:rFonts w:ascii="Univers Next Arabic" w:hAnsi="Univers Next Arabic" w:cs="Univers Next Arabic"/>
                <w:sz w:val="22"/>
                <w:szCs w:val="22"/>
                <w:rtl/>
                <w:lang w:val="en-AE"/>
              </w:rPr>
              <w:t xml:space="preserve"> 1 </w:t>
            </w:r>
            <w:r w:rsidRPr="00396E93">
              <w:rPr>
                <w:rFonts w:ascii="Univers Next Arabic" w:hAnsi="Univers Next Arabic" w:cs="Univers Next Arabic" w:hint="cs"/>
                <w:sz w:val="22"/>
                <w:szCs w:val="22"/>
                <w:rtl/>
                <w:lang w:val="en-AE"/>
              </w:rPr>
              <w:t>معا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أجل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نفسية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أفضل</w:t>
            </w:r>
          </w:p>
          <w:p w14:paraId="7C0134AB" w14:textId="74DBBB69"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عالم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اليوم،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يتزايد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الحديث</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العقلية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والرفاه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النفسي،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إذ</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تشير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الدراسات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كثيرًا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الشباب</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حول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العالم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يواجهون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ضغوطا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كبيرة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مرتبطة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بالدراسة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والعلاقات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الاجتماعية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ومستقبلهم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هذه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الضغوط</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قد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تؤثر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تركيزهم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ودافعيتهم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وسعادتهم</w:t>
            </w:r>
            <w:r w:rsidRPr="00396E93">
              <w:rPr>
                <w:rFonts w:ascii="Univers Next Arabic" w:hAnsi="Univers Next Arabic" w:cs="Univers Next Arabic"/>
                <w:sz w:val="22"/>
                <w:szCs w:val="22"/>
                <w:lang w:val="en-AE"/>
              </w:rPr>
              <w:t>.</w:t>
            </w:r>
          </w:p>
          <w:p w14:paraId="3F8ABDA9" w14:textId="2CB19744"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لكن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ماذا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مدرستنا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ومجتمعنا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القريب</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w:t>
            </w:r>
          </w:p>
          <w:p w14:paraId="74E346F1" w14:textId="3404E9BD"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هل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رأيت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يوما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زميلك</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غاضبًا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بعد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خسارته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مباراة،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أو</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آخر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حزينا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بعد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تعرضه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لموقف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صعب</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وكيف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يمكن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للمدرسة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تساعده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إدارة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مشاعره؟</w:t>
            </w:r>
          </w:p>
          <w:p w14:paraId="124C92D5" w14:textId="3B87CFED"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تخيل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أنك</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ضمن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فريق</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زملائك</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كلف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بالبحث</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هذا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الموضوع،</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واكتشاف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التحديات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يعيشها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الطلبة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مجال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النفسية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داخل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المدرسة،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ثم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التفكير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طرق</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مبتكرة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لمساعدة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زملائكم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على</w:t>
            </w:r>
            <w:r w:rsidRPr="00396E93">
              <w:rPr>
                <w:rFonts w:ascii="Univers Next Arabic" w:hAnsi="Univers Next Arabic" w:cs="Univers Next Arabic"/>
                <w:sz w:val="22"/>
                <w:szCs w:val="22"/>
                <w:lang w:val="en-AE"/>
              </w:rPr>
              <w:t>:</w:t>
            </w:r>
          </w:p>
          <w:p w14:paraId="1C28ECB7" w14:textId="754B8F8C" w:rsidR="003B0BF5" w:rsidRPr="00E542A5" w:rsidRDefault="00E542A5" w:rsidP="00E542A5">
            <w:pPr>
              <w:pStyle w:val="NormalWeb"/>
              <w:bidi/>
              <w:spacing w:before="0" w:beforeAutospacing="0" w:after="0" w:afterAutospacing="0"/>
              <w:rPr>
                <w:rFonts w:ascii="Univers Next Arabic" w:hAnsi="Univers Next Arabic" w:cs="Univers Next Arabic"/>
                <w:sz w:val="22"/>
                <w:szCs w:val="22"/>
                <w:lang w:val="en-AE"/>
              </w:rPr>
            </w:pPr>
            <w:r w:rsidRPr="00396E93">
              <w:rPr>
                <w:rFonts w:ascii="Univers Next Arabic" w:hAnsi="Univers Next Arabic" w:cs="Univers Next Arabic" w:hint="cs"/>
                <w:sz w:val="22"/>
                <w:szCs w:val="22"/>
                <w:rtl/>
                <w:lang w:val="en-AE"/>
              </w:rPr>
              <w:t>كفريق</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عمل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عليكم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استكشاف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الواقع،</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وتحديد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التحديات،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ثم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تصميم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حلول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إبداعية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تدعم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النفسية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للطلبة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مدرستكم،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اعملوا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معا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تحليل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المشكلة،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وجمع</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آراء</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زملائكم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للوصول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هذه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الحلول</w:t>
            </w:r>
            <w:r w:rsidR="00F756FC">
              <w:rPr>
                <w:rFonts w:ascii="Univers Next Arabic" w:hAnsi="Univers Next Arabic" w:cs="Univers Next Arabic" w:hint="cs"/>
                <w:sz w:val="22"/>
                <w:szCs w:val="22"/>
                <w:rtl/>
                <w:lang w:val="en-AE"/>
              </w:rPr>
              <w:t xml:space="preserve"> .</w:t>
            </w:r>
          </w:p>
        </w:tc>
        <w:tc>
          <w:tcPr>
            <w:tcW w:w="2546" w:type="dxa"/>
            <w:shd w:val="clear" w:color="auto" w:fill="455860"/>
            <w:vAlign w:val="center"/>
          </w:tcPr>
          <w:p w14:paraId="690DF85A" w14:textId="77777777" w:rsidR="003B0BF5" w:rsidRPr="00E77941" w:rsidRDefault="003B0BF5" w:rsidP="003953E1">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lastRenderedPageBreak/>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9F10BC">
            <w:pPr>
              <w:bidi/>
              <w:rPr>
                <w:rFonts w:ascii="Univers Next Arabic" w:hAnsi="Univers Next Arabic" w:cs="Univers Next Arabic"/>
                <w:sz w:val="22"/>
                <w:szCs w:val="22"/>
                <w:rtl/>
              </w:rPr>
            </w:pPr>
          </w:p>
          <w:p w14:paraId="000B6AA9" w14:textId="3056D4AE" w:rsidR="009F10BC" w:rsidRPr="009F10BC"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9F10BC" w:rsidRPr="009F10BC">
              <w:rPr>
                <w:rFonts w:ascii="Univers Next Arabic" w:hAnsi="Univers Next Arabic" w:cs="Univers Next Arabic"/>
                <w:sz w:val="22"/>
                <w:szCs w:val="22"/>
              </w:rPr>
              <w:t xml:space="preserve">• </w:t>
            </w:r>
            <w:r w:rsidR="009F10BC" w:rsidRPr="009F10BC">
              <w:rPr>
                <w:rFonts w:ascii="Univers Next Arabic" w:hAnsi="Univers Next Arabic" w:cs="Univers Next Arabic" w:hint="cs"/>
                <w:sz w:val="22"/>
                <w:szCs w:val="22"/>
                <w:rtl/>
              </w:rPr>
              <w:t>إطلاق</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تطبيق</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مساحتك</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الآمنة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لدعم</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الزملاء</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منصة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رقمية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تتيح</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للطلبة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التعبير</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عن</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ضغوطهم</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الدراسية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والاجتماعية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والحصول</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على</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نصائح</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لمواجهة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الغضب</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والحزن</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بلغة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شبابية</w:t>
            </w:r>
            <w:r w:rsidR="009F10BC" w:rsidRPr="009F10BC">
              <w:rPr>
                <w:rFonts w:ascii="Univers Next Arabic" w:hAnsi="Univers Next Arabic" w:cs="Univers Next Arabic"/>
                <w:sz w:val="22"/>
                <w:szCs w:val="22"/>
                <w:rtl/>
              </w:rPr>
              <w:t xml:space="preserve"> </w:t>
            </w:r>
            <w:r w:rsidR="009F10BC" w:rsidRPr="009F10BC">
              <w:rPr>
                <w:rFonts w:ascii="Univers Next Arabic" w:hAnsi="Univers Next Arabic" w:cs="Univers Next Arabic" w:hint="cs"/>
                <w:sz w:val="22"/>
                <w:szCs w:val="22"/>
                <w:rtl/>
              </w:rPr>
              <w:t>معاصرة</w:t>
            </w:r>
            <w:r w:rsidR="009F10BC" w:rsidRPr="009F10BC">
              <w:rPr>
                <w:rFonts w:ascii="Univers Next Arabic" w:hAnsi="Univers Next Arabic" w:cs="Univers Next Arabic"/>
                <w:sz w:val="22"/>
                <w:szCs w:val="22"/>
              </w:rPr>
              <w:t>.</w:t>
            </w:r>
          </w:p>
          <w:p w14:paraId="27BED456" w14:textId="0E29E07F" w:rsidR="009F10BC" w:rsidRPr="009F10BC" w:rsidRDefault="009F10BC" w:rsidP="009F10BC">
            <w:pPr>
              <w:bidi/>
              <w:rPr>
                <w:rFonts w:ascii="Univers Next Arabic" w:hAnsi="Univers Next Arabic" w:cs="Univers Next Arabic"/>
                <w:sz w:val="22"/>
                <w:szCs w:val="22"/>
                <w:rtl/>
              </w:rPr>
            </w:pPr>
            <w:r w:rsidRPr="009F10BC">
              <w:rPr>
                <w:rFonts w:ascii="Univers Next Arabic" w:hAnsi="Univers Next Arabic" w:cs="Univers Next Arabic" w:hint="eastAsia"/>
                <w:sz w:val="22"/>
                <w:szCs w:val="22"/>
              </w:rPr>
              <w:t>•</w:t>
            </w:r>
            <w:r w:rsidRPr="009F10BC">
              <w:rPr>
                <w:rFonts w:ascii="Univers Next Arabic" w:hAnsi="Univers Next Arabic" w:cs="Univers Next Arabic"/>
                <w:sz w:val="22"/>
                <w:szCs w:val="22"/>
              </w:rPr>
              <w:t xml:space="preserve"> </w:t>
            </w:r>
            <w:r w:rsidRPr="009F10BC">
              <w:rPr>
                <w:rFonts w:ascii="Univers Next Arabic" w:hAnsi="Univers Next Arabic" w:cs="Univers Next Arabic" w:hint="cs"/>
                <w:sz w:val="22"/>
                <w:szCs w:val="22"/>
                <w:rtl/>
              </w:rPr>
              <w:t>تصميم</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دليل</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الطالب</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للثبات</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النفسي</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كتاب</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مصوّر</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يوضح</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مواقف</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واقعية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من</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داخل</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الصف</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والملاعب،</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ويقدم</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استراتيجيات</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عملية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مبتكرة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لإدارة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المشاعر</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السلبية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وتجاوز</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التحديات</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اليومية</w:t>
            </w:r>
            <w:r w:rsidRPr="009F10BC">
              <w:rPr>
                <w:rFonts w:ascii="Univers Next Arabic" w:hAnsi="Univers Next Arabic" w:cs="Univers Next Arabic"/>
                <w:sz w:val="22"/>
                <w:szCs w:val="22"/>
              </w:rPr>
              <w:t>.</w:t>
            </w:r>
          </w:p>
          <w:p w14:paraId="05075FE3" w14:textId="77960DF9" w:rsidR="009F10BC" w:rsidRPr="009F10BC" w:rsidRDefault="009F10BC" w:rsidP="009F10BC">
            <w:pPr>
              <w:bidi/>
              <w:rPr>
                <w:rFonts w:ascii="Univers Next Arabic" w:hAnsi="Univers Next Arabic" w:cs="Univers Next Arabic"/>
                <w:sz w:val="22"/>
                <w:szCs w:val="22"/>
                <w:rtl/>
              </w:rPr>
            </w:pPr>
            <w:r w:rsidRPr="009F10BC">
              <w:rPr>
                <w:rFonts w:ascii="Univers Next Arabic" w:hAnsi="Univers Next Arabic" w:cs="Univers Next Arabic" w:hint="eastAsia"/>
                <w:sz w:val="22"/>
                <w:szCs w:val="22"/>
              </w:rPr>
              <w:t>•</w:t>
            </w:r>
            <w:r w:rsidRPr="009F10BC">
              <w:rPr>
                <w:rFonts w:ascii="Univers Next Arabic" w:hAnsi="Univers Next Arabic" w:cs="Univers Next Arabic"/>
                <w:sz w:val="22"/>
                <w:szCs w:val="22"/>
              </w:rPr>
              <w:t xml:space="preserve"> </w:t>
            </w:r>
            <w:r w:rsidRPr="009F10BC">
              <w:rPr>
                <w:rFonts w:ascii="Univers Next Arabic" w:hAnsi="Univers Next Arabic" w:cs="Univers Next Arabic" w:hint="cs"/>
                <w:sz w:val="22"/>
                <w:szCs w:val="22"/>
                <w:rtl/>
              </w:rPr>
              <w:t>إنشاء</w:t>
            </w:r>
            <w:r w:rsidRPr="009F10BC">
              <w:rPr>
                <w:rFonts w:ascii="Univers Next Arabic" w:hAnsi="Univers Next Arabic" w:cs="Univers Next Arabic"/>
                <w:sz w:val="22"/>
                <w:szCs w:val="22"/>
                <w:rtl/>
              </w:rPr>
              <w:t xml:space="preserve"> "</w:t>
            </w:r>
            <w:proofErr w:type="spellStart"/>
            <w:r w:rsidRPr="009F10BC">
              <w:rPr>
                <w:rFonts w:ascii="Univers Next Arabic" w:hAnsi="Univers Next Arabic" w:cs="Univers Next Arabic" w:hint="cs"/>
                <w:sz w:val="22"/>
                <w:szCs w:val="22"/>
                <w:rtl/>
              </w:rPr>
              <w:t>بودكاست</w:t>
            </w:r>
            <w:proofErr w:type="spellEnd"/>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الصحة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النفسية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المدرسي</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سلسلة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حلقات</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رقمية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يناقش</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فيها</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الطلبة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تحدياتهم</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في</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التركيز</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والدافعية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والمستقبل،</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مع</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استضافة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مختصين</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لتقديم</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حلول</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إبداعية</w:t>
            </w:r>
            <w:r w:rsidRPr="009F10BC">
              <w:rPr>
                <w:rFonts w:ascii="Univers Next Arabic" w:hAnsi="Univers Next Arabic" w:cs="Univers Next Arabic"/>
                <w:sz w:val="22"/>
                <w:szCs w:val="22"/>
              </w:rPr>
              <w:t>.</w:t>
            </w:r>
          </w:p>
          <w:p w14:paraId="1CC45DC0" w14:textId="06F64236" w:rsidR="00AC2C66" w:rsidRPr="00900316" w:rsidRDefault="009F10BC" w:rsidP="009F10BC">
            <w:pPr>
              <w:bidi/>
              <w:rPr>
                <w:rFonts w:ascii="Univers Next Arabic" w:hAnsi="Univers Next Arabic" w:cs="Univers Next Arabic"/>
                <w:sz w:val="22"/>
                <w:szCs w:val="22"/>
                <w:rtl/>
              </w:rPr>
            </w:pPr>
            <w:r w:rsidRPr="009F10BC">
              <w:rPr>
                <w:rFonts w:ascii="Univers Next Arabic" w:hAnsi="Univers Next Arabic" w:cs="Univers Next Arabic" w:hint="eastAsia"/>
                <w:sz w:val="22"/>
                <w:szCs w:val="22"/>
                <w:rtl/>
              </w:rPr>
              <w:t>•</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تنظيم</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ماراثون</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التوعية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النفسية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فعالية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اجتماعية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رياضية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تهدف</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إلى</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تفريغ</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الضغوط</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النفسية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وتعزيز</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الروابط</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بين</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الزملاء</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ونشر</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ثقافة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الرفاه</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النفسي</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في</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بيئة</w:t>
            </w:r>
            <w:r w:rsidRPr="009F10BC">
              <w:rPr>
                <w:rFonts w:ascii="Univers Next Arabic" w:hAnsi="Univers Next Arabic" w:cs="Univers Next Arabic"/>
                <w:sz w:val="22"/>
                <w:szCs w:val="22"/>
                <w:rtl/>
              </w:rPr>
              <w:t xml:space="preserve"> </w:t>
            </w:r>
            <w:r w:rsidRPr="009F10BC">
              <w:rPr>
                <w:rFonts w:ascii="Univers Next Arabic" w:hAnsi="Univers Next Arabic" w:cs="Univers Next Arabic" w:hint="cs"/>
                <w:sz w:val="22"/>
                <w:szCs w:val="22"/>
                <w:rtl/>
              </w:rPr>
              <w:t>المدرسة</w:t>
            </w:r>
            <w:r w:rsidRPr="009F10BC">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lastRenderedPageBreak/>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1C81" w14:textId="77777777" w:rsidR="00704F1B" w:rsidRDefault="00704F1B" w:rsidP="003B0EEC">
      <w:pPr>
        <w:spacing w:after="0" w:line="240" w:lineRule="auto"/>
      </w:pPr>
      <w:r>
        <w:separator/>
      </w:r>
    </w:p>
  </w:endnote>
  <w:endnote w:type="continuationSeparator" w:id="0">
    <w:p w14:paraId="061BEF0B" w14:textId="77777777" w:rsidR="00704F1B" w:rsidRDefault="00704F1B"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CD29" w14:textId="77777777" w:rsidR="00704F1B" w:rsidRDefault="00704F1B" w:rsidP="003B0EEC">
      <w:pPr>
        <w:spacing w:after="0" w:line="240" w:lineRule="auto"/>
      </w:pPr>
      <w:r>
        <w:separator/>
      </w:r>
    </w:p>
  </w:footnote>
  <w:footnote w:type="continuationSeparator" w:id="0">
    <w:p w14:paraId="3170ED38" w14:textId="77777777" w:rsidR="00704F1B" w:rsidRDefault="00704F1B"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1534</Words>
  <Characters>8744</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5</cp:revision>
  <dcterms:created xsi:type="dcterms:W3CDTF">2026-01-13T12:13:00Z</dcterms:created>
  <dcterms:modified xsi:type="dcterms:W3CDTF">2026-01-13T12:41:00Z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