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Arial" w:cs="Arial" w:eastAsia="Arial" w:hAnsi="Arial"/>
          <w:b/>
          <w:bCs/>
          <w:color w:val="2E4057"/>
          <w:sz w:val="32"/>
          <w:szCs w:val="32"/>
        </w:rPr>
        <w:t xml:space="preserve">نموذج رسمي للخطة الدرسية</w:t>
      </w:r>
    </w:p>
    <w:p>
      <w:pPr>
        <w:spacing w:after="300"/>
        <w:jc w:val="center"/>
      </w:pPr>
      <w:r>
        <w:rPr>
          <w:rFonts w:ascii="Arial" w:cs="Arial" w:eastAsia="Arial" w:hAnsi="Arial"/>
          <w:b/>
          <w:bCs/>
          <w:color w:val="4A6FA5"/>
          <w:sz w:val="24"/>
          <w:szCs w:val="24"/>
        </w:rPr>
        <w:t xml:space="preserve">المادة: اللغة العربية  |  Arabic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gridSpan w:val="6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2E405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المرجع الزمني حسب الجدول الدراسي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عنوان الدرس</w:t>
            </w:r>
          </w:p>
        </w:tc>
        <w:tc>
          <w:tcPr>
            <w:gridSpan w:val="2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قصة كهفي الصغير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التاريخ / الحصة</w:t>
            </w:r>
          </w:p>
        </w:tc>
        <w:tc>
          <w:tcPr>
            <w:gridSpan w:val="2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9/5/2024  |  الخميس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الصف / الشعبة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الخامس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المدة الزمنية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45 دقيقة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المعلم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الوحدة</w:t>
            </w:r>
          </w:p>
        </w:tc>
        <w:tc>
          <w:tcPr>
            <w:gridSpan w:val="2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السابعة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المسار</w:t>
            </w:r>
          </w:p>
        </w:tc>
        <w:tc>
          <w:tcPr>
            <w:gridSpan w:val="2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1755"/>
        <w:gridCol w:w="1755"/>
        <w:gridCol w:w="1755"/>
        <w:gridCol w:w="1755"/>
      </w:tblGrid>
      <w:tr>
        <w:tc>
          <w:tcPr>
            <w:gridSpan w:val="5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2E405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معايير المناهج الدراسية (CS) / معلومات التقييم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المستوى الحالي (جميع الطلاب)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EAF2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4057"/>
                <w:sz w:val="17"/>
                <w:szCs w:val="17"/>
              </w:rPr>
              <w:t xml:space="preserve">أعلى من المستوى المتوقع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EAF2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4057"/>
                <w:sz w:val="17"/>
                <w:szCs w:val="17"/>
              </w:rPr>
              <w:t xml:space="preserve">ضمن المستوى المتوقع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EAF2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4057"/>
                <w:sz w:val="17"/>
                <w:szCs w:val="17"/>
              </w:rPr>
              <w:t xml:space="preserve">دون المستوى المتوقع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EAF2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4057"/>
                <w:sz w:val="17"/>
                <w:szCs w:val="17"/>
              </w:rPr>
              <w:t xml:space="preserve">نطاق القدرات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النسبة / العدد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25%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55%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20%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واسع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c>
          <w:tcPr>
            <w:gridSpan w:val="2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2E405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التخطيط والمنهجية التربوية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المجموعة الديموغرافية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عدد الطلاب المسجلين: ____  |  ذوو الاحتياجات الخاصة: ____  |  الموهوبون والمتفوقون: ____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الحضور: ____  |  ذوو الاحتياجات الخاصة: ____  |  الموهوبون والمتفوقون: ____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الطلاب / المجموعات المستهدفة: عدد الطلاب الذين سيحصلون على تدخل موجه خلال هذا الدرس: ____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نقاط القوة / الضعف / التحديات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نقاط القوة: يمتلك الطلاب مهارات الاستماع الجيد وقراءة النصوص القصصية. معظمهم لديهم معرفة بالعناصر الفنية للقصة.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نقاط الضعف / التحديات: صعوبة في ربط الأحداث بالعناصر الفنية وتحديدها بدقة. يحتاج بعض الطلاب إلى دعم في مهارة التعبير الكتابي.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نواتج التعلم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في نهاية الدرس، يكون الطالب قادرًا على: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١. أن يُحدّد العنصر الفني المناسب لكل حدث من أحداث قصة "كهفي الصغير" (مكان، شخصيات، بداية، نهاية).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٢. أن يشارك في حل أنشطة كتاب النشاط المتعلقة بالقصة بصورة صحيحة.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٣. أن يستخدم مهارات التفكير العليا في تغيير نهاية القصة والاستفادة منها في الحياة.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السؤال الأساسي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i/>
                <w:iCs/>
                <w:sz w:val="18"/>
                <w:szCs w:val="18"/>
              </w:rPr>
              <w:t xml:space="preserve">كيف تُسهم العناصر الفنية في بناء القصة ونقل مشاعر الكاتب وأفكاره للقارئ؟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المفردات الجديدة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كهف – مختبر – اكتشافات – ملامح – رمليّة – مُنخفض – يحلّ – انحلّ – هواية – هيكل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مهارات التعلم المستهدفة</w:t>
            </w:r>
          </w:p>
        </w:tc>
        <w:tc>
          <w:tcPr>
            <w:gridSpan w:val="1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التفاعل، والتعاون ومهارات التواصل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تطبيق التعلم في سياقات حياتية واقعية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التفكير النقدي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حل المشكلات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توظيف تقنيات التعلم الحديثة (منصة ألف)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المسؤولية عن التعلم الذاتي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إجراء روابط تكاملية بين مجالات التعلم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تنمية الوعي ما وراء المعرفة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استراتيجيات التدريس</w:t>
            </w:r>
          </w:p>
        </w:tc>
        <w:tc>
          <w:tcPr>
            <w:gridSpan w:val="1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الممارسة الموجهة (أنا أفعل / نحن نفعل / أنت تفعل)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النمذجة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التعلم النشط (التوقفات، الاستجواب المتبادل)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فكر – زاوج – شارك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تعليم الأقران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العمل الجماعي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التعلم القائم على اللعب (منصة ألف)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الاستجواب السقراطي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التعلم الاستكشافي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أساليب التقييم التكويني</w:t>
            </w:r>
          </w:p>
        </w:tc>
        <w:tc>
          <w:tcPr>
            <w:gridSpan w:val="1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فكر – زاوج – شارك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التغذية الراجعة الشفهية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الملاحظات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تذاكر الخروج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التقييم الذاتي للطالب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الاختبار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دفاتر التعلّم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التدريس التكيفي / التمايز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المعرفة السابقة: ربط مفهوم العناصر الفنية بقصص درسها الطلاب سابقًا.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يعملون نحو الإتقان (جميع الطلبة): ربط الأحداث بالعناصر الفنية في الجدول الأساسي.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يحققون الإتقان (معظم الطلبة): حل أنشطة كتاب النشاط وتغيير نهاية القصة.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إتقان بدرجة أعمق (بعض الطلبة): تحليل العلاقة بين عنوان الوحدة (نبع الحنان) والقصة.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ذوو الاحتياجات الخاصة (SEN / LS): تبسيط الجدول مع صور داعمة، ووقت إضافي.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الموهوبون والمتفوقون (G&amp;T): كتابة قصة جديدة تشبه "كهفي الصغير" من وحي تجربتهم.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الابتكار / مهارات القرن 21</w:t>
            </w:r>
          </w:p>
        </w:tc>
        <w:tc>
          <w:tcPr>
            <w:gridSpan w:val="1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الإبداع والابتكار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استخدام تقنيات التعلم (منصة ألف)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الهوية الثقافية لدولة الإمارات العربية المتحدة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المبادرة والتوجيه الذاتي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القيم الإسلامية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المسؤولية المدنية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التعاون الرقمي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الاستراتيجيات الرقمية وتكامل الأدوات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هل الأداة الرقمية مطلوبة؟  ☑ نعم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الأداة المستخدمة: منصة ألف التعليمية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زيادة التفاعل والمشاركة النشطة</w:t>
            </w:r>
          </w:p>
          <w:p>
            <w:pPr>
              <w:spacing w:before="3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دعم التعلم المخصص أو التكيفي (تلبية مستويات القدرات المختلفة)</w:t>
            </w:r>
          </w:p>
          <w:p>
            <w:pPr>
              <w:spacing w:before="3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مرتبط بوضوح بهدف الدرس – محدد بوقت وموجّه لتجنب التشتت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التركيز على مهارات التفكير العليا</w:t>
            </w:r>
          </w:p>
        </w:tc>
        <w:tc>
          <w:tcPr>
            <w:gridSpan w:val="1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التحليل: تحليل أحداث القصة وربطها بعناصرها الفنية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التقييم: تقييم نهاية القصة والحكم عليها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التبرير: تبرير اختيار العنصر الفني المناسب لكل حدث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الربط بين المفاهيم: ربط القصة بالحياة الواقعية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تصميم الحلول: تغيير نهاية القصة وإعادة كتابتها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توليد الفرضيات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بناء الحجج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روابط بين المناهج الدراسية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التربية الوطنية: الهوية الوطنية الإماراتية (اقتباس الشيخ محمد بن راشد – أهمية الأسرة). التربية الأخلاقية: قيم الترابط الأسري وتشجيع المواهب.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A1A2E"/>
                <w:sz w:val="18"/>
                <w:szCs w:val="18"/>
              </w:rPr>
              <w:t xml:space="preserve">ترتيبات الجلوس</w:t>
            </w:r>
          </w:p>
        </w:tc>
        <w:tc>
          <w:tcPr>
            <w:gridSpan w:val="1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مجموعات (مستويات مختلطة) – للأنشطة التعاونية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☑ فردي – لأنشطة التقييم الفردي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أزواج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☐ على شكل حرف U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"/>
        <w:gridCol w:w="2808"/>
        <w:gridCol w:w="2340"/>
        <w:gridCol w:w="1872"/>
        <w:gridCol w:w="1404"/>
      </w:tblGrid>
      <w:tr>
        <w:tc>
          <w:tcPr>
            <w:gridSpan w:val="5"/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2E405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سير الدرس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4A6FA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الزمن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4A6FA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نشاط المعلم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4A6FA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نشاط الطالب ومعايير النجاح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4A6FA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التقييم التكويني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4A6FA5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المادة والمصادر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5 دقائق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النشاط التمهيدي (التهيئة):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توجيه الطلاب إلى منصة ألف لأداء نشاط (ألعب وأتعلم) لتهيئة الأذهان.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مراجعة قواعد التعلم عن بعد (الجلوس، المشاركة، الاستعداد).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يدخل الطالب منصة ألف ويؤدي النشاط التمهيدي بصورة فردية.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ملاحظة مدى استجابة الطلاب وتفاعلهم.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منصة ألف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10 دقائق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التنشيط (تقديم محتوى جديد):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عرض عنوان القصة "كهفي الصغير" وطرح أسئلة استثارة: ما الكهف؟ لماذا سمّى الكاتب غرفته كهفًا؟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قراءة مقطع من القصة وشرح مفهوم العناصر الفنية (مكان، شخصيات، بداية، نهاية).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نمذجة ربط أحد الأحداث بعنصره الفني على السبورة.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مشاركة الطلاب: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يستمعون ويتفاعلون بالإجابة عن أسئلة الاستثارة.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التمايز: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الموهوبون: يقترحون تعريفهم الخاص للعنصر الفني.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أسئلة شفهية مفتوحة، ملاحظة مستوى الفهم.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عرض تقديمي – الشرائح 5-6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الكتاب المدرسي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25 دقيقة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عرض توضيحي للتعلم (الممارسة – 25 دقيقة):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[1] فوق مستوى الإتقان:</w:t>
            </w:r>
          </w:p>
          <w:p>
            <w:pPr>
              <w:spacing w:before="3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حل نشاط ص35 (تعبير حقيقي ومجازي) + تحليل العلاقة بين الوحدة والقصتين (المستوى 2 ص24).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[2] ضمن مستوى الإتقان:</w:t>
            </w:r>
          </w:p>
          <w:p>
            <w:pPr>
              <w:spacing w:before="3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حل نشاط ص30-32 (ربط الأحداث بالعناصر الفنية، أسئلة الفهم والاستيعاب).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[3] دون مستوى الإتقان:</w:t>
            </w:r>
          </w:p>
          <w:p>
            <w:pPr>
              <w:spacing w:before="3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حل نشاط ص30 بمساعدة بطاقة دعم تحتوي على تلميحات وصور توضيحية للعناصر.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النهج المرتكز على الطالب: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يعمل الطلاب بصورة مستقلة أو في مجموعات صغيرة على أوراق العمل المتمايزة.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معايير النجاح المتمايزة: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[1] فوق الإتقان: تحليل مقارن بين القصتين مع توظيف التعبير المجازي.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[2] ضمن الإتقان: ربط الأحداث الأربعة بعناصرها بشكل صحيح.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[3] دون الإتقان: ربط حدثين على الأقل بعنصريهما الفنيين.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البيانات التكوينية: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جولة المعلم ومراقبة الأداء.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تغذية راجعة شفهية فورية.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• ملاحظة الطلاب المحتاجين لتدخل إضافي.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كتاب النشاط ص30-35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بطاقات دعم للطلاب دون المستوى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أوراق عمل متمايزة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D6E4F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5 دقائق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ترسيخ التعلم / المراجعة: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نقاش صفي: كيف يمكننا الاستفادة من قصة "كهفي الصغير" في حياتنا؟ وما الرابط بين عنوان الوحدة (نبع الحنان) والقصة؟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الربط بالهوية الوطنية: قراءة اقتباس الشيخ محمد بن راشد عن أهمية الأسرة.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الختام وتذكرة الخروج: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يكتب كل طالب على تذكرة الخروج: عنصرًا فنيًا تعلمه، وشيئًا أعجبه في القصة.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تمايز الواجب المنزلي: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دون الإتقان: إعادة قراءة القصة وتحديد الشخصيات فقط.</w:t>
            </w:r>
          </w:p>
          <w:p>
            <w:pPr>
              <w:spacing w:before="3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ضمن الإتقان: كتابة ملخص للقصة بأسلوبهم.</w:t>
            </w:r>
          </w:p>
          <w:p>
            <w:pPr>
              <w:spacing w:before="3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فوق الإتقان: كتابة رسالة للكاتب تتضمن رأيهم في القصة.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البيانات التكوينية:</w:t>
            </w:r>
          </w:p>
          <w:p>
            <w:pPr>
              <w:spacing w:before="5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تحليل تذاكر الخروج لتحديد فجوات التعلم.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تحديد الطلاب الذين يحتاجون تدخلًا في الدرس القادم.</w:t>
            </w:r>
          </w:p>
        </w:tc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تذاكر الخروج</w:t>
            </w:r>
          </w:p>
          <w:p>
            <w:pPr>
              <w:spacing w:before="4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الشريحة 20 (الربط بالهوية)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2E405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التأمل الذاتي: التخطيط المستقبلي المستند إلى البيانات</w:t>
            </w:r>
          </w:p>
        </w:tc>
      </w:tr>
      <w:tr>
        <w:tc>
          <w:tcPr>
            <w:tcBorders>
              <w:top w:val="single" w:color="2E4057" w:sz="4"/>
              <w:left w:val="single" w:color="2E4057" w:sz="4"/>
              <w:bottom w:val="single" w:color="2E4057" w:sz="4"/>
              <w:right w:val="single" w:color="2E4057" w:sz="4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١. كيف ساهمت بيانات التقييم التكويني من الدروس السابقة في تخطيط هذا الدرس؟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بناءً على نتائج التقييم السابق، تبيّن وجود ضعف في مهارة تحديد العناصر الفنية للقصة لدى نسبة من الطلاب. لذا تم تصميم أنشطة متمايزة ودعم بصري لتلبية احتياجاتهم.</w:t>
            </w:r>
          </w:p>
          <w:p>
            <w:pPr>
              <w:spacing w:before="12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٢. كيف ستوجّه البيانات التكوينية من هذا الدرس تخطيط الدروس القادمة؟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سيتم تحليل تذاكر الخروج لتحديد الطلاب الذين لم يتمكنوا من ربط الأحداث بعناصرها، والتخطيط لجلسات إثراء أو تدخل في الدروس القادمة.</w:t>
            </w:r>
          </w:p>
          <w:p>
            <w:pPr>
              <w:spacing w:before="12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٣. ما نوع التدخل أو التسريع المطلوب، استنادًا إلى البيانات التكوينية؟</w:t>
            </w:r>
          </w:p>
          <w:p>
            <w:pPr>
              <w:spacing w:before="60"/>
              <w:jc w:val="right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التدخل: مجموعة صغيرة مع المعلم لإعادة شرح العناصر الفنية باستخدام أمثلة مختلفة. | التسريع: تكليف الموهوبين بمشروع قراءة موسّع يتضمن تحليل قصة من اختيارهم.</w:t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2026-05-02T18:16:39.553Z</dcterms:created>
  <dcterms:modified xsi:type="dcterms:W3CDTF">2026-05-02T18:16:39.554Z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