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bidiVisual/>
        <w:tblW w:w="10432" w:type="dxa"/>
        <w:jc w:val="center"/>
        <w:tblBorders>
          <w:top w:val="nil" w:sz="6" w:space="0" w:color="808080"/>
          <w:left w:val="nil" w:sz="6" w:space="0" w:color="808080"/>
          <w:bottom w:val="nil" w:sz="6" w:space="0" w:color="808080"/>
          <w:right w:val="nil" w:sz="6" w:space="0" w:color="808080"/>
          <w:insideH w:val="nil" w:sz="6" w:space="0" w:color="808080"/>
          <w:insideV w:val="nil" w:sz="6" w:space="0" w:color="808080"/>
        </w:tblBorders>
        <w:tblLayout w:type="fixed"/>
        <w:tblLook w:firstColumn="1" w:firstRow="1" w:lastColumn="0" w:lastRow="0" w:noHBand="0" w:noVBand="1" w:val="04A0"/>
      </w:tblPr>
      <w:tblGrid>
        <w:gridCol w:w="3515"/>
        <w:gridCol w:w="3402"/>
        <w:gridCol w:w="3515"/>
      </w:tblGrid>
      <w:tr>
        <w:trPr>
          <w:cantSplit/>
        </w:trPr>
        <w:tc>
          <w:tcPr>
            <w:tcW w:type="dxa" w:w="3515"/>
            <w:vAlign w:val="center"/>
          </w:tcPr>
          <w:p>
            <w:pPr>
              <w:bidi/>
              <w:spacing w:after="0" w:before="0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459080" cy="396000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chool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9080" cy="396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bidi/>
              <w:spacing w:after="0" w:before="0"/>
              <w:jc w:val="center"/>
            </w:pPr>
            <w:r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إعداد المعلم: عبد الخالق جفّالي</w:t>
            </w:r>
          </w:p>
        </w:tc>
        <w:tc>
          <w:tcPr>
            <w:tcW w:type="dxa" w:w="3402"/>
            <w:vAlign w:val="center"/>
          </w:tcPr>
          <w:p>
            <w:pPr>
              <w:bidi/>
              <w:spacing w:after="0" w:before="0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490490" cy="540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ithaq_poster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490" cy="5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515"/>
            <w:vAlign w:val="center"/>
          </w:tcPr>
          <w:p>
            <w:pPr>
              <w:bidi/>
              <w:spacing w:after="0" w:before="0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487856" cy="378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arbia.pn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856" cy="378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bidi/>
        <w:spacing w:after="0" w:before="0" w:line="30" w:lineRule="exact"/>
      </w:pPr>
    </w:p>
    <w:p>
      <w:pPr>
        <w:bidi/>
        <w:spacing w:after="40" w:before="0"/>
        <w:jc w:val="center"/>
      </w:pPr>
      <w:r>
        <w:rPr>
          <w:rFonts w:ascii="Sakkal Majalla" w:hAnsi="Sakkal Majalla" w:cs="Sakkal Majalla"/>
          <w:b/>
          <w:bCs/>
          <w:sz w:val="36"/>
          <w:szCs w:val="36"/>
          <w:rtl/>
        </w:rPr>
        <w:t>نموذج الإجابة — نموذج تدريبي لاختبار PIRLS — الصف الخامس</w:t>
      </w:r>
    </w:p>
    <w:p>
      <w:pPr>
        <w:bidi/>
        <w:spacing w:after="80" w:before="0"/>
        <w:jc w:val="center"/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>النص: «مُزنةُ والسُّلحفاةُ الخضراء» (نص أدبي) — الدرجة الكلية: 100</w:t>
      </w:r>
    </w:p>
    <w:p>
      <w:pPr>
        <w:bidi/>
        <w:spacing w:after="40" w:before="0"/>
      </w:pPr>
      <w:r>
        <w:rPr>
          <w:rFonts w:ascii="Sakkal Majalla" w:hAnsi="Sakkal Majalla" w:cs="Sakkal Majalla"/>
          <w:b/>
          <w:bCs/>
          <w:sz w:val="30"/>
          <w:szCs w:val="30"/>
          <w:rtl/>
        </w:rPr>
        <w:t>أولًا: الاختيار من متعدد (لكل سؤال 4 درجات)</w:t>
      </w:r>
    </w:p>
    <w:tbl>
      <w:tblPr>
        <w:bidiVisual/>
        <w:tblW w:w="10432" w:type="dxa"/>
        <w:jc w:val="center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firstColumn="1" w:firstRow="1" w:lastColumn="0" w:lastRow="0" w:noHBand="0" w:noVBand="1" w:val="04A0"/>
      </w:tblPr>
      <w:tblGrid>
        <w:gridCol w:w="2086"/>
        <w:gridCol w:w="2086"/>
        <w:gridCol w:w="2086"/>
        <w:gridCol w:w="2086"/>
        <w:gridCol w:w="2086"/>
      </w:tblGrid>
      <w:tr>
        <w:trPr>
          <w:cantSplit/>
        </w:trPr>
        <w:tc>
          <w:tcPr>
            <w:tcW w:type="dxa" w:w="2086"/>
            <w:shd w:val="clear" w:color="auto" w:fill="E7E6E6"/>
            <w:vAlign w:val="center"/>
          </w:tcPr>
          <w:p>
            <w:pPr>
              <w:bidi/>
              <w:spacing w:after="0" w:before="0"/>
              <w:jc w:val="center"/>
            </w:pPr>
            <w:r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السؤال 1</w:t>
            </w:r>
          </w:p>
        </w:tc>
        <w:tc>
          <w:tcPr>
            <w:tcW w:type="dxa" w:w="2086"/>
            <w:shd w:val="clear" w:color="auto" w:fill="E7E6E6"/>
            <w:vAlign w:val="center"/>
          </w:tcPr>
          <w:p>
            <w:pPr>
              <w:bidi/>
              <w:spacing w:after="0" w:before="0"/>
              <w:jc w:val="center"/>
            </w:pPr>
            <w:r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السؤال 2</w:t>
            </w:r>
          </w:p>
        </w:tc>
        <w:tc>
          <w:tcPr>
            <w:tcW w:type="dxa" w:w="2086"/>
            <w:shd w:val="clear" w:color="auto" w:fill="E7E6E6"/>
            <w:vAlign w:val="center"/>
          </w:tcPr>
          <w:p>
            <w:pPr>
              <w:bidi/>
              <w:spacing w:after="0" w:before="0"/>
              <w:jc w:val="center"/>
            </w:pPr>
            <w:r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السؤال 3</w:t>
            </w:r>
          </w:p>
        </w:tc>
        <w:tc>
          <w:tcPr>
            <w:tcW w:type="dxa" w:w="2086"/>
            <w:shd w:val="clear" w:color="auto" w:fill="E7E6E6"/>
            <w:vAlign w:val="center"/>
          </w:tcPr>
          <w:p>
            <w:pPr>
              <w:bidi/>
              <w:spacing w:after="0" w:before="0"/>
              <w:jc w:val="center"/>
            </w:pPr>
            <w:r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السؤال 4</w:t>
            </w:r>
          </w:p>
        </w:tc>
        <w:tc>
          <w:tcPr>
            <w:tcW w:type="dxa" w:w="2086"/>
            <w:shd w:val="clear" w:color="auto" w:fill="E7E6E6"/>
            <w:vAlign w:val="center"/>
          </w:tcPr>
          <w:p>
            <w:pPr>
              <w:bidi/>
              <w:spacing w:after="0" w:before="0"/>
              <w:jc w:val="center"/>
            </w:pPr>
            <w:r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السؤال 5</w:t>
            </w:r>
          </w:p>
        </w:tc>
      </w:tr>
      <w:tr>
        <w:trPr>
          <w:cantSplit/>
          <w:trHeight w:val="453" w:hRule="atLeast"/>
        </w:trPr>
        <w:tc>
          <w:tcPr>
            <w:tcW w:type="dxa" w:w="2086"/>
            <w:vAlign w:val="center"/>
          </w:tcPr>
          <w:p>
            <w:pPr>
              <w:bidi/>
              <w:spacing w:after="0" w:before="0"/>
              <w:jc w:val="center"/>
            </w:pPr>
            <w:r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b</w:t>
            </w:r>
          </w:p>
        </w:tc>
        <w:tc>
          <w:tcPr>
            <w:tcW w:type="dxa" w:w="2086"/>
            <w:vAlign w:val="center"/>
          </w:tcPr>
          <w:p>
            <w:pPr>
              <w:bidi/>
              <w:spacing w:after="0" w:before="0"/>
              <w:jc w:val="center"/>
            </w:pPr>
            <w:r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c</w:t>
            </w:r>
          </w:p>
        </w:tc>
        <w:tc>
          <w:tcPr>
            <w:tcW w:type="dxa" w:w="2086"/>
            <w:vAlign w:val="center"/>
          </w:tcPr>
          <w:p>
            <w:pPr>
              <w:bidi/>
              <w:spacing w:after="0" w:before="0"/>
              <w:jc w:val="center"/>
            </w:pPr>
            <w:r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c</w:t>
            </w:r>
          </w:p>
        </w:tc>
        <w:tc>
          <w:tcPr>
            <w:tcW w:type="dxa" w:w="2086"/>
            <w:vAlign w:val="center"/>
          </w:tcPr>
          <w:p>
            <w:pPr>
              <w:bidi/>
              <w:spacing w:after="0" w:before="0"/>
              <w:jc w:val="center"/>
            </w:pPr>
            <w:r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b</w:t>
            </w:r>
          </w:p>
        </w:tc>
        <w:tc>
          <w:tcPr>
            <w:tcW w:type="dxa" w:w="2086"/>
            <w:vAlign w:val="center"/>
          </w:tcPr>
          <w:p>
            <w:pPr>
              <w:bidi/>
              <w:spacing w:after="0" w:before="0"/>
              <w:jc w:val="center"/>
            </w:pPr>
            <w:r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b</w:t>
            </w:r>
          </w:p>
        </w:tc>
      </w:tr>
      <w:tr>
        <w:trPr>
          <w:cantSplit/>
        </w:trPr>
        <w:tc>
          <w:tcPr>
            <w:tcW w:type="dxa" w:w="2086"/>
            <w:shd w:val="clear" w:color="auto" w:fill="E7E6E6"/>
            <w:vAlign w:val="center"/>
          </w:tcPr>
          <w:p>
            <w:pPr>
              <w:bidi/>
              <w:spacing w:after="0" w:before="0"/>
              <w:jc w:val="center"/>
            </w:pPr>
            <w:r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السؤال 6</w:t>
            </w:r>
          </w:p>
        </w:tc>
        <w:tc>
          <w:tcPr>
            <w:tcW w:type="dxa" w:w="2086"/>
            <w:shd w:val="clear" w:color="auto" w:fill="E7E6E6"/>
            <w:vAlign w:val="center"/>
          </w:tcPr>
          <w:p>
            <w:pPr>
              <w:bidi/>
              <w:spacing w:after="0" w:before="0"/>
              <w:jc w:val="center"/>
            </w:pPr>
            <w:r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السؤال 7</w:t>
            </w:r>
          </w:p>
        </w:tc>
        <w:tc>
          <w:tcPr>
            <w:tcW w:type="dxa" w:w="2086"/>
            <w:shd w:val="clear" w:color="auto" w:fill="E7E6E6"/>
            <w:vAlign w:val="center"/>
          </w:tcPr>
          <w:p>
            <w:pPr>
              <w:bidi/>
              <w:spacing w:after="0" w:before="0"/>
              <w:jc w:val="center"/>
            </w:pPr>
            <w:r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السؤال 8</w:t>
            </w:r>
          </w:p>
        </w:tc>
        <w:tc>
          <w:tcPr>
            <w:tcW w:type="dxa" w:w="2086"/>
            <w:shd w:val="clear" w:color="auto" w:fill="E7E6E6"/>
            <w:vAlign w:val="center"/>
          </w:tcPr>
          <w:p>
            <w:pPr>
              <w:bidi/>
              <w:spacing w:after="0" w:before="0"/>
              <w:jc w:val="center"/>
            </w:pPr>
            <w:r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السؤال 9</w:t>
            </w:r>
          </w:p>
        </w:tc>
        <w:tc>
          <w:tcPr>
            <w:tcW w:type="dxa" w:w="2086"/>
            <w:shd w:val="clear" w:color="auto" w:fill="E7E6E6"/>
            <w:vAlign w:val="center"/>
          </w:tcPr>
          <w:p>
            <w:pPr>
              <w:bidi/>
              <w:spacing w:after="0" w:before="0"/>
              <w:jc w:val="center"/>
            </w:pPr>
            <w:r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السؤال 10</w:t>
            </w:r>
          </w:p>
        </w:tc>
      </w:tr>
      <w:tr>
        <w:trPr>
          <w:cantSplit/>
          <w:trHeight w:val="453" w:hRule="atLeast"/>
        </w:trPr>
        <w:tc>
          <w:tcPr>
            <w:tcW w:type="dxa" w:w="2086"/>
            <w:vAlign w:val="center"/>
          </w:tcPr>
          <w:p>
            <w:pPr>
              <w:bidi/>
              <w:spacing w:after="0" w:before="0"/>
              <w:jc w:val="center"/>
            </w:pPr>
            <w:r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a</w:t>
            </w:r>
          </w:p>
        </w:tc>
        <w:tc>
          <w:tcPr>
            <w:tcW w:type="dxa" w:w="2086"/>
            <w:vAlign w:val="center"/>
          </w:tcPr>
          <w:p>
            <w:pPr>
              <w:bidi/>
              <w:spacing w:after="0" w:before="0"/>
              <w:jc w:val="center"/>
            </w:pPr>
            <w:r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b</w:t>
            </w:r>
          </w:p>
        </w:tc>
        <w:tc>
          <w:tcPr>
            <w:tcW w:type="dxa" w:w="2086"/>
            <w:vAlign w:val="center"/>
          </w:tcPr>
          <w:p>
            <w:pPr>
              <w:bidi/>
              <w:spacing w:after="0" w:before="0"/>
              <w:jc w:val="center"/>
            </w:pPr>
            <w:r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b</w:t>
            </w:r>
          </w:p>
        </w:tc>
        <w:tc>
          <w:tcPr>
            <w:tcW w:type="dxa" w:w="2086"/>
            <w:vAlign w:val="center"/>
          </w:tcPr>
          <w:p>
            <w:pPr>
              <w:bidi/>
              <w:spacing w:after="0" w:before="0"/>
              <w:jc w:val="center"/>
            </w:pPr>
            <w:r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b</w:t>
            </w:r>
          </w:p>
        </w:tc>
        <w:tc>
          <w:tcPr>
            <w:tcW w:type="dxa" w:w="2086"/>
            <w:vAlign w:val="center"/>
          </w:tcPr>
          <w:p>
            <w:pPr>
              <w:bidi/>
              <w:spacing w:after="0" w:before="0"/>
              <w:jc w:val="center"/>
            </w:pPr>
            <w:r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c</w:t>
            </w:r>
          </w:p>
        </w:tc>
      </w:tr>
    </w:tbl>
    <w:p>
      <w:pPr>
        <w:bidi/>
        <w:spacing w:after="0" w:before="0" w:line="30" w:lineRule="exact"/>
      </w:pPr>
    </w:p>
    <w:p>
      <w:pPr>
        <w:bidi/>
        <w:spacing w:after="40" w:before="80"/>
      </w:pPr>
      <w:r>
        <w:rPr>
          <w:rFonts w:ascii="Sakkal Majalla" w:hAnsi="Sakkal Majalla" w:cs="Sakkal Majalla"/>
          <w:b/>
          <w:bCs/>
          <w:sz w:val="30"/>
          <w:szCs w:val="30"/>
          <w:rtl/>
        </w:rPr>
        <w:t>ثانيًا: الأسئلة المقالية (لكل سؤال 6 درجات)</w:t>
      </w:r>
    </w:p>
    <w:tbl>
      <w:tblPr>
        <w:bidiVisual/>
        <w:tblW w:w="10432" w:type="dxa"/>
        <w:jc w:val="center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firstColumn="1" w:firstRow="1" w:lastColumn="0" w:lastRow="0" w:noHBand="0" w:noVBand="1" w:val="04A0"/>
      </w:tblPr>
      <w:tblGrid>
        <w:gridCol w:w="907"/>
        <w:gridCol w:w="6804"/>
        <w:gridCol w:w="2721"/>
      </w:tblGrid>
      <w:tr>
        <w:trPr>
          <w:cantSplit/>
        </w:trPr>
        <w:tc>
          <w:tcPr>
            <w:tcW w:type="dxa" w:w="907"/>
            <w:shd w:val="clear" w:color="auto" w:fill="E7E6E6"/>
            <w:vAlign w:val="center"/>
          </w:tcPr>
          <w:p>
            <w:pPr>
              <w:bidi/>
              <w:spacing w:after="0" w:before="0"/>
              <w:jc w:val="center"/>
            </w:pPr>
            <w:r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السؤال</w:t>
            </w:r>
          </w:p>
        </w:tc>
        <w:tc>
          <w:tcPr>
            <w:tcW w:type="dxa" w:w="6803"/>
            <w:shd w:val="clear" w:color="auto" w:fill="E7E6E6"/>
            <w:vAlign w:val="center"/>
          </w:tcPr>
          <w:p>
            <w:pPr>
              <w:bidi/>
              <w:spacing w:after="0" w:before="0"/>
              <w:jc w:val="center"/>
            </w:pPr>
            <w:r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الإجابة النموذجية</w:t>
            </w:r>
          </w:p>
        </w:tc>
        <w:tc>
          <w:tcPr>
            <w:tcW w:type="dxa" w:w="2721"/>
            <w:shd w:val="clear" w:color="auto" w:fill="E7E6E6"/>
            <w:vAlign w:val="center"/>
          </w:tcPr>
          <w:p>
            <w:pPr>
              <w:bidi/>
              <w:spacing w:after="0" w:before="0"/>
              <w:jc w:val="center"/>
            </w:pPr>
            <w:r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توزيع الدرجات</w:t>
            </w:r>
          </w:p>
        </w:tc>
      </w:tr>
      <w:tr>
        <w:trPr>
          <w:cantSplit/>
        </w:trPr>
        <w:tc>
          <w:tcPr>
            <w:tcW w:type="dxa" w:w="907"/>
            <w:vAlign w:val="center"/>
          </w:tcPr>
          <w:p>
            <w:pPr>
              <w:bidi/>
              <w:spacing w:after="0" w:before="0"/>
              <w:jc w:val="center"/>
            </w:pPr>
            <w:r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  <w:t>11</w:t>
            </w:r>
          </w:p>
        </w:tc>
        <w:tc>
          <w:tcPr>
            <w:tcW w:type="dxa" w:w="6803"/>
            <w:vAlign w:val="center"/>
          </w:tcPr>
          <w:p>
            <w:pPr>
              <w:bidi/>
              <w:spacing w:after="0" w:before="0"/>
            </w:pPr>
            <w:r>
              <w:rPr>
                <w:rFonts w:ascii="Sakkal Majalla" w:hAnsi="Sakkal Majalla" w:cs="Sakkal Majalla"/>
                <w:b w:val="0"/>
                <w:sz w:val="28"/>
                <w:szCs w:val="28"/>
                <w:rtl/>
              </w:rPr>
              <w:t>الترتيب: رأت مزنة شيئًا أخضر (1) ← قصّ الجدّ الخيوط (2) ← عرضت فكرة الفريق على معلّمتها (3) ← خرجت السلاحف الصغيرة (4).</w:t>
            </w:r>
          </w:p>
        </w:tc>
        <w:tc>
          <w:tcPr>
            <w:tcW w:type="dxa" w:w="2721"/>
            <w:vAlign w:val="center"/>
          </w:tcPr>
          <w:p>
            <w:pPr>
              <w:bidi/>
              <w:spacing w:after="0" w:before="0"/>
            </w:pPr>
            <w:r>
              <w:rPr>
                <w:rFonts w:ascii="Sakkal Majalla" w:hAnsi="Sakkal Majalla" w:cs="Sakkal Majalla"/>
                <w:b w:val="0"/>
                <w:sz w:val="26"/>
                <w:szCs w:val="26"/>
                <w:rtl/>
              </w:rPr>
              <w:t>درجة ونصف لكل ترتيب صحيح.</w:t>
            </w:r>
          </w:p>
        </w:tc>
      </w:tr>
      <w:tr>
        <w:trPr>
          <w:cantSplit/>
        </w:trPr>
        <w:tc>
          <w:tcPr>
            <w:tcW w:type="dxa" w:w="907"/>
            <w:vAlign w:val="center"/>
          </w:tcPr>
          <w:p>
            <w:pPr>
              <w:bidi/>
              <w:spacing w:after="0" w:before="0"/>
              <w:jc w:val="center"/>
            </w:pPr>
            <w:r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  <w:t>12</w:t>
            </w:r>
          </w:p>
        </w:tc>
        <w:tc>
          <w:tcPr>
            <w:tcW w:type="dxa" w:w="6803"/>
            <w:vAlign w:val="center"/>
          </w:tcPr>
          <w:p>
            <w:pPr>
              <w:bidi/>
              <w:spacing w:after="0" w:before="0"/>
            </w:pPr>
            <w:r>
              <w:rPr>
                <w:rFonts w:ascii="Sakkal Majalla" w:hAnsi="Sakkal Majalla" w:cs="Sakkal Majalla"/>
                <w:b w:val="0"/>
                <w:sz w:val="28"/>
                <w:szCs w:val="28"/>
                <w:rtl/>
              </w:rPr>
              <w:t>من الصفات: رحيمة (ظلّلت رأس السلحفاة وحدّثتها: «لا تخافي»)، مبادِرة (عرضت فكرة فريق أصدقاء الشاطئ)، متحمّسة (قالت: «هيّا يا جدّي، الشمس لن تنتظرنا!»)، شجاعة/منتبهة (اقتربت بحذر وطلبت المساعدة).</w:t>
            </w:r>
          </w:p>
        </w:tc>
        <w:tc>
          <w:tcPr>
            <w:tcW w:type="dxa" w:w="2721"/>
            <w:vAlign w:val="center"/>
          </w:tcPr>
          <w:p>
            <w:pPr>
              <w:bidi/>
              <w:spacing w:after="0" w:before="0"/>
            </w:pPr>
            <w:r>
              <w:rPr>
                <w:rFonts w:ascii="Sakkal Majalla" w:hAnsi="Sakkal Majalla" w:cs="Sakkal Majalla"/>
                <w:b w:val="0"/>
                <w:sz w:val="26"/>
                <w:szCs w:val="26"/>
                <w:rtl/>
              </w:rPr>
              <w:t>صفتان (درجة لكل صفة) + دليلان (درجتان لكل دليل).</w:t>
            </w:r>
          </w:p>
        </w:tc>
      </w:tr>
      <w:tr>
        <w:trPr>
          <w:cantSplit/>
        </w:trPr>
        <w:tc>
          <w:tcPr>
            <w:tcW w:type="dxa" w:w="907"/>
            <w:vAlign w:val="center"/>
          </w:tcPr>
          <w:p>
            <w:pPr>
              <w:bidi/>
              <w:spacing w:after="0" w:before="0"/>
              <w:jc w:val="center"/>
            </w:pPr>
            <w:r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  <w:t>13</w:t>
            </w:r>
          </w:p>
        </w:tc>
        <w:tc>
          <w:tcPr>
            <w:tcW w:type="dxa" w:w="6803"/>
            <w:vAlign w:val="center"/>
          </w:tcPr>
          <w:p>
            <w:pPr>
              <w:bidi/>
              <w:spacing w:after="0" w:before="0"/>
            </w:pPr>
            <w:r>
              <w:rPr>
                <w:rFonts w:ascii="Sakkal Majalla" w:hAnsi="Sakkal Majalla" w:cs="Sakkal Majalla"/>
                <w:b w:val="0"/>
                <w:sz w:val="28"/>
                <w:szCs w:val="28"/>
                <w:rtl/>
              </w:rPr>
              <w:t>خطأ — صح — صح. التصحيح: ذهبت مزنة إلى الشاطئ مع جدّها.</w:t>
            </w:r>
          </w:p>
        </w:tc>
        <w:tc>
          <w:tcPr>
            <w:tcW w:type="dxa" w:w="2721"/>
            <w:vAlign w:val="center"/>
          </w:tcPr>
          <w:p>
            <w:pPr>
              <w:bidi/>
              <w:spacing w:after="0" w:before="0"/>
            </w:pPr>
            <w:r>
              <w:rPr>
                <w:rFonts w:ascii="Sakkal Majalla" w:hAnsi="Sakkal Majalla" w:cs="Sakkal Majalla"/>
                <w:b w:val="0"/>
                <w:sz w:val="26"/>
                <w:szCs w:val="26"/>
                <w:rtl/>
              </w:rPr>
              <w:t>درجة لكل حكم، و3 درجات للتصحيح.</w:t>
            </w:r>
          </w:p>
        </w:tc>
      </w:tr>
      <w:tr>
        <w:trPr>
          <w:cantSplit/>
        </w:trPr>
        <w:tc>
          <w:tcPr>
            <w:tcW w:type="dxa" w:w="907"/>
            <w:vAlign w:val="center"/>
          </w:tcPr>
          <w:p>
            <w:pPr>
              <w:bidi/>
              <w:spacing w:after="0" w:before="0"/>
              <w:jc w:val="center"/>
            </w:pPr>
            <w:r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  <w:t>14</w:t>
            </w:r>
          </w:p>
        </w:tc>
        <w:tc>
          <w:tcPr>
            <w:tcW w:type="dxa" w:w="6803"/>
            <w:vAlign w:val="center"/>
          </w:tcPr>
          <w:p>
            <w:pPr>
              <w:bidi/>
              <w:spacing w:after="0" w:before="0"/>
            </w:pPr>
            <w:r>
              <w:rPr>
                <w:rFonts w:ascii="Sakkal Majalla" w:hAnsi="Sakkal Majalla" w:cs="Sakkal Majalla"/>
                <w:b w:val="0"/>
                <w:sz w:val="28"/>
                <w:szCs w:val="28"/>
                <w:rtl/>
              </w:rPr>
              <w:t>الجدّ: صبورٌ حكيم — مزنة: رحيمةٌ مبادِرة — زميلات مزنة: متعاونات.</w:t>
            </w:r>
          </w:p>
        </w:tc>
        <w:tc>
          <w:tcPr>
            <w:tcW w:type="dxa" w:w="2721"/>
            <w:vAlign w:val="center"/>
          </w:tcPr>
          <w:p>
            <w:pPr>
              <w:bidi/>
              <w:spacing w:after="0" w:before="0"/>
            </w:pPr>
            <w:r>
              <w:rPr>
                <w:rFonts w:ascii="Sakkal Majalla" w:hAnsi="Sakkal Majalla" w:cs="Sakkal Majalla"/>
                <w:b w:val="0"/>
                <w:sz w:val="26"/>
                <w:szCs w:val="26"/>
                <w:rtl/>
              </w:rPr>
              <w:t>درجتان لكل إجابة.</w:t>
            </w:r>
          </w:p>
        </w:tc>
      </w:tr>
      <w:tr>
        <w:trPr>
          <w:cantSplit/>
        </w:trPr>
        <w:tc>
          <w:tcPr>
            <w:tcW w:type="dxa" w:w="907"/>
            <w:vAlign w:val="center"/>
          </w:tcPr>
          <w:p>
            <w:pPr>
              <w:bidi/>
              <w:spacing w:after="0" w:before="0"/>
              <w:jc w:val="center"/>
            </w:pPr>
            <w:r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  <w:t>15</w:t>
            </w:r>
          </w:p>
        </w:tc>
        <w:tc>
          <w:tcPr>
            <w:tcW w:type="dxa" w:w="6803"/>
            <w:vAlign w:val="center"/>
          </w:tcPr>
          <w:p>
            <w:pPr>
              <w:bidi/>
              <w:spacing w:after="0" w:before="0"/>
            </w:pPr>
            <w:r>
              <w:rPr>
                <w:rFonts w:ascii="Sakkal Majalla" w:hAnsi="Sakkal Majalla" w:cs="Sakkal Majalla"/>
                <w:b w:val="0"/>
                <w:sz w:val="28"/>
                <w:szCs w:val="28"/>
                <w:rtl/>
              </w:rPr>
              <w:t>لأنها كانت تفكّر في سبب وجود الشبكة والأكياس في البحر، ومَن رماها، وكيف تؤذي المخلوقات البحرية؛ والدليل سؤالها لجدّها بعد ذلك.</w:t>
            </w:r>
          </w:p>
        </w:tc>
        <w:tc>
          <w:tcPr>
            <w:tcW w:type="dxa" w:w="2721"/>
            <w:vAlign w:val="center"/>
          </w:tcPr>
          <w:p>
            <w:pPr>
              <w:bidi/>
              <w:spacing w:after="0" w:before="0"/>
            </w:pPr>
            <w:r>
              <w:rPr>
                <w:rFonts w:ascii="Sakkal Majalla" w:hAnsi="Sakkal Majalla" w:cs="Sakkal Majalla"/>
                <w:b w:val="0"/>
                <w:sz w:val="26"/>
                <w:szCs w:val="26"/>
                <w:rtl/>
              </w:rPr>
              <w:t>3 درجات للسبب، و3 للتفسير أو الدليل.</w:t>
            </w:r>
          </w:p>
        </w:tc>
      </w:tr>
      <w:tr>
        <w:trPr>
          <w:cantSplit/>
        </w:trPr>
        <w:tc>
          <w:tcPr>
            <w:tcW w:type="dxa" w:w="907"/>
            <w:vAlign w:val="center"/>
          </w:tcPr>
          <w:p>
            <w:pPr>
              <w:bidi/>
              <w:spacing w:after="0" w:before="0"/>
              <w:jc w:val="center"/>
            </w:pPr>
            <w:r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  <w:t>16</w:t>
            </w:r>
          </w:p>
        </w:tc>
        <w:tc>
          <w:tcPr>
            <w:tcW w:type="dxa" w:w="6803"/>
            <w:vAlign w:val="center"/>
          </w:tcPr>
          <w:p>
            <w:pPr>
              <w:bidi/>
              <w:spacing w:after="0" w:before="0"/>
            </w:pPr>
            <w:r>
              <w:rPr>
                <w:rFonts w:ascii="Sakkal Majalla" w:hAnsi="Sakkal Majalla" w:cs="Sakkal Majalla"/>
                <w:b w:val="0"/>
                <w:sz w:val="28"/>
                <w:szCs w:val="28"/>
                <w:rtl/>
              </w:rPr>
              <w:t>يقصد أن البحر يمنحنا الرزق والجمال، فعلينا أن نحميه ونحافظ على نظافته. عملت مزنة بنصيحته حين أسّست «فريق أصدقاء الشاطئ» ونظّفت الشاطئ مع زميلاتها.</w:t>
            </w:r>
          </w:p>
        </w:tc>
        <w:tc>
          <w:tcPr>
            <w:tcW w:type="dxa" w:w="2721"/>
            <w:vAlign w:val="center"/>
          </w:tcPr>
          <w:p>
            <w:pPr>
              <w:bidi/>
              <w:spacing w:after="0" w:before="0"/>
            </w:pPr>
            <w:r>
              <w:rPr>
                <w:rFonts w:ascii="Sakkal Majalla" w:hAnsi="Sakkal Majalla" w:cs="Sakkal Majalla"/>
                <w:b w:val="0"/>
                <w:sz w:val="26"/>
                <w:szCs w:val="26"/>
                <w:rtl/>
              </w:rPr>
              <w:t>3 درجات للمعنى، و3 لعمل مزنة.</w:t>
            </w:r>
          </w:p>
        </w:tc>
      </w:tr>
      <w:tr>
        <w:trPr>
          <w:cantSplit/>
        </w:trPr>
        <w:tc>
          <w:tcPr>
            <w:tcW w:type="dxa" w:w="907"/>
            <w:vAlign w:val="center"/>
          </w:tcPr>
          <w:p>
            <w:pPr>
              <w:bidi/>
              <w:spacing w:after="0" w:before="0"/>
              <w:jc w:val="center"/>
            </w:pPr>
            <w:r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  <w:t>17</w:t>
            </w:r>
          </w:p>
        </w:tc>
        <w:tc>
          <w:tcPr>
            <w:tcW w:type="dxa" w:w="6803"/>
            <w:vAlign w:val="center"/>
          </w:tcPr>
          <w:p>
            <w:pPr>
              <w:bidi/>
              <w:spacing w:after="0" w:before="0"/>
            </w:pPr>
            <w:r>
              <w:rPr>
                <w:rFonts w:ascii="Sakkal Majalla" w:hAnsi="Sakkal Majalla" w:cs="Sakkal Majalla"/>
                <w:b w:val="0"/>
                <w:sz w:val="28"/>
                <w:szCs w:val="28"/>
                <w:rtl/>
              </w:rPr>
              <w:t>في البداية: خوف وقلق (قلبها يخفق بقوة). في النهاية: فرح وسعادة واطمئنان (ابتسمت وهمست). سبب التغيّر: نجاح إنقاذ السلحفاة وتنظيف الشاطئ وعودة السلاحف.</w:t>
            </w:r>
          </w:p>
        </w:tc>
        <w:tc>
          <w:tcPr>
            <w:tcW w:type="dxa" w:w="2721"/>
            <w:vAlign w:val="center"/>
          </w:tcPr>
          <w:p>
            <w:pPr>
              <w:bidi/>
              <w:spacing w:after="0" w:before="0"/>
            </w:pPr>
            <w:r>
              <w:rPr>
                <w:rFonts w:ascii="Sakkal Majalla" w:hAnsi="Sakkal Majalla" w:cs="Sakkal Majalla"/>
                <w:b w:val="0"/>
                <w:sz w:val="26"/>
                <w:szCs w:val="26"/>
                <w:rtl/>
              </w:rPr>
              <w:t>درجتان لكل شعور، ودرجتان للسبب.</w:t>
            </w:r>
          </w:p>
        </w:tc>
      </w:tr>
      <w:tr>
        <w:trPr>
          <w:cantSplit/>
        </w:trPr>
        <w:tc>
          <w:tcPr>
            <w:tcW w:type="dxa" w:w="907"/>
            <w:vAlign w:val="center"/>
          </w:tcPr>
          <w:p>
            <w:pPr>
              <w:bidi/>
              <w:spacing w:after="0" w:before="0"/>
              <w:jc w:val="center"/>
            </w:pPr>
            <w:r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  <w:t>18</w:t>
            </w:r>
          </w:p>
        </w:tc>
        <w:tc>
          <w:tcPr>
            <w:tcW w:type="dxa" w:w="6803"/>
            <w:vAlign w:val="center"/>
          </w:tcPr>
          <w:p>
            <w:pPr>
              <w:bidi/>
              <w:spacing w:after="0" w:before="0"/>
            </w:pPr>
            <w:r>
              <w:rPr>
                <w:rFonts w:ascii="Sakkal Majalla" w:hAnsi="Sakkal Majalla" w:cs="Sakkal Majalla"/>
                <w:b w:val="0"/>
                <w:sz w:val="28"/>
                <w:szCs w:val="28"/>
                <w:rtl/>
              </w:rPr>
              <w:t>البداية: رحلة إلى الشاطئ — الوسط: إنقاذ السلحفاة — النهاية: ثمرة العمل الجماعي.</w:t>
            </w:r>
          </w:p>
        </w:tc>
        <w:tc>
          <w:tcPr>
            <w:tcW w:type="dxa" w:w="2721"/>
            <w:vAlign w:val="center"/>
          </w:tcPr>
          <w:p>
            <w:pPr>
              <w:bidi/>
              <w:spacing w:after="0" w:before="0"/>
            </w:pPr>
            <w:r>
              <w:rPr>
                <w:rFonts w:ascii="Sakkal Majalla" w:hAnsi="Sakkal Majalla" w:cs="Sakkal Majalla"/>
                <w:b w:val="0"/>
                <w:sz w:val="26"/>
                <w:szCs w:val="26"/>
                <w:rtl/>
              </w:rPr>
              <w:t>درجتان لكل جزء.</w:t>
            </w:r>
          </w:p>
        </w:tc>
      </w:tr>
      <w:tr>
        <w:trPr>
          <w:cantSplit/>
        </w:trPr>
        <w:tc>
          <w:tcPr>
            <w:tcW w:type="dxa" w:w="907"/>
            <w:vAlign w:val="center"/>
          </w:tcPr>
          <w:p>
            <w:pPr>
              <w:bidi/>
              <w:spacing w:after="0" w:before="0"/>
              <w:jc w:val="center"/>
            </w:pPr>
            <w:r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  <w:t>19</w:t>
            </w:r>
          </w:p>
        </w:tc>
        <w:tc>
          <w:tcPr>
            <w:tcW w:type="dxa" w:w="6803"/>
            <w:vAlign w:val="center"/>
          </w:tcPr>
          <w:p>
            <w:pPr>
              <w:bidi/>
              <w:spacing w:after="0" w:before="0"/>
            </w:pPr>
            <w:r>
              <w:rPr>
                <w:rFonts w:ascii="Sakkal Majalla" w:hAnsi="Sakkal Majalla" w:cs="Sakkal Majalla"/>
                <w:b w:val="0"/>
                <w:sz w:val="28"/>
                <w:szCs w:val="28"/>
                <w:rtl/>
              </w:rPr>
              <w:t>الدليلان: التفاف الشبكة والأكياس حول السلحفاة + جمع الطالبات النفايات عن الشاطئ؛ لأنهما يحدثان فعلًا في حياتنا. (أمّا التفات السلحفاة «كأنها تقول شكرًا» فتصوير من خيال الكاتب.)</w:t>
            </w:r>
          </w:p>
        </w:tc>
        <w:tc>
          <w:tcPr>
            <w:tcW w:type="dxa" w:w="2721"/>
            <w:vAlign w:val="center"/>
          </w:tcPr>
          <w:p>
            <w:pPr>
              <w:bidi/>
              <w:spacing w:after="0" w:before="0"/>
            </w:pPr>
            <w:r>
              <w:rPr>
                <w:rFonts w:ascii="Sakkal Majalla" w:hAnsi="Sakkal Majalla" w:cs="Sakkal Majalla"/>
                <w:b w:val="0"/>
                <w:sz w:val="26"/>
                <w:szCs w:val="26"/>
                <w:rtl/>
              </w:rPr>
              <w:t>درجتان لكل دليل، ودرجتان للتعليل.</w:t>
            </w:r>
          </w:p>
        </w:tc>
      </w:tr>
      <w:tr>
        <w:trPr>
          <w:cantSplit/>
        </w:trPr>
        <w:tc>
          <w:tcPr>
            <w:tcW w:type="dxa" w:w="907"/>
            <w:vAlign w:val="center"/>
          </w:tcPr>
          <w:p>
            <w:pPr>
              <w:bidi/>
              <w:spacing w:after="0" w:before="0"/>
              <w:jc w:val="center"/>
            </w:pPr>
            <w:r>
              <w:rPr>
                <w:rFonts w:ascii="Sakkal Majalla" w:hAnsi="Sakkal Majalla" w:cs="Sakkal Majalla"/>
                <w:b/>
                <w:bCs/>
                <w:sz w:val="30"/>
                <w:szCs w:val="30"/>
                <w:rtl/>
              </w:rPr>
              <w:t>20</w:t>
            </w:r>
          </w:p>
        </w:tc>
        <w:tc>
          <w:tcPr>
            <w:tcW w:type="dxa" w:w="6803"/>
            <w:vAlign w:val="center"/>
          </w:tcPr>
          <w:p>
            <w:pPr>
              <w:bidi/>
              <w:spacing w:after="0" w:before="0"/>
            </w:pPr>
            <w:r>
              <w:rPr>
                <w:rFonts w:ascii="Sakkal Majalla" w:hAnsi="Sakkal Majalla" w:cs="Sakkal Majalla"/>
                <w:b w:val="0"/>
                <w:sz w:val="28"/>
                <w:szCs w:val="28"/>
                <w:rtl/>
              </w:rPr>
              <w:t>إجابة مفتوحة، مثل: عدم رمي النفايات والبلاستيك على الشاطئ، استخدام أكياس قماشية، المشاركة في حملات التنظيف، نشر التوعية بين الزملاء… مع توضيح الأثر: حماية الكائنات البحرية وبقاء الشاطئ نظيفًا.</w:t>
            </w:r>
          </w:p>
        </w:tc>
        <w:tc>
          <w:tcPr>
            <w:tcW w:type="dxa" w:w="2721"/>
            <w:vAlign w:val="center"/>
          </w:tcPr>
          <w:p>
            <w:pPr>
              <w:bidi/>
              <w:spacing w:after="0" w:before="0"/>
            </w:pPr>
            <w:r>
              <w:rPr>
                <w:rFonts w:ascii="Sakkal Majalla" w:hAnsi="Sakkal Majalla" w:cs="Sakkal Majalla"/>
                <w:b w:val="0"/>
                <w:sz w:val="26"/>
                <w:szCs w:val="26"/>
                <w:rtl/>
              </w:rPr>
              <w:t>درجتان لكل اقتراح، ودرجة لأثر كلٍّ منهما.</w:t>
            </w:r>
          </w:p>
        </w:tc>
      </w:tr>
    </w:tbl>
    <w:p>
      <w:pPr>
        <w:bidi/>
        <w:spacing w:after="0" w:before="0" w:line="30" w:lineRule="exact"/>
      </w:pPr>
    </w:p>
    <w:p>
      <w:pPr>
        <w:bidi/>
        <w:spacing w:after="0" w:before="80"/>
      </w:pPr>
      <w:r>
        <w:rPr>
          <w:rFonts w:ascii="Sakkal Majalla" w:hAnsi="Sakkal Majalla" w:cs="Sakkal Majalla"/>
          <w:b/>
          <w:bCs/>
          <w:sz w:val="26"/>
          <w:szCs w:val="26"/>
          <w:rtl/>
        </w:rPr>
        <w:t>ملاحظة: تُقبل الإجابات الصحيحة الأخرى التي تستند إلى النص.</w:t>
      </w:r>
    </w:p>
    <w:sectPr w:rsidR="00FC693F" w:rsidRPr="0006063C" w:rsidSect="00034616">
      <w:headerReference w:type="default" r:id="rId12"/>
      <w:pgSz w:w="11906" w:h="16838"/>
      <w:pgMar w:top="340" w:right="737" w:bottom="340" w:left="73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Sakkal Majalla" w:hAnsi="Sakkal Majalla"/>
      <w:sz w:val="30"/>
      <w:rtl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jpg"/><Relationship Id="rId11" Type="http://schemas.openxmlformats.org/officeDocument/2006/relationships/image" Target="media/image3.png"/><Relationship Id="rId1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